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A9" w:rsidRDefault="008052A9"/>
    <w:p w:rsidR="0032717C" w:rsidRPr="00D41B4F" w:rsidRDefault="00106052" w:rsidP="0032717C">
      <w:pPr>
        <w:jc w:val="center"/>
        <w:rPr>
          <w:b/>
          <w:u w:val="single"/>
        </w:rPr>
      </w:pPr>
      <w:r>
        <w:rPr>
          <w:b/>
          <w:u w:val="single"/>
        </w:rPr>
        <w:t>Representation</w:t>
      </w:r>
      <w:r w:rsidR="0032717C" w:rsidRPr="00D41B4F">
        <w:rPr>
          <w:b/>
          <w:u w:val="single"/>
        </w:rPr>
        <w:t xml:space="preserve"> Theory</w:t>
      </w:r>
    </w:p>
    <w:p w:rsidR="0032717C" w:rsidRPr="00D41B4F" w:rsidRDefault="0032717C" w:rsidP="0032717C">
      <w:pPr>
        <w:jc w:val="center"/>
        <w:rPr>
          <w:b/>
          <w:u w:val="single"/>
        </w:rPr>
      </w:pPr>
      <w:r w:rsidRPr="00D41B4F">
        <w:rPr>
          <w:b/>
          <w:u w:val="single"/>
        </w:rPr>
        <w:t>Apply to LFTD</w:t>
      </w:r>
    </w:p>
    <w:p w:rsidR="0032717C" w:rsidRDefault="0032717C" w:rsidP="0032717C">
      <w:pPr>
        <w:rPr>
          <w:b/>
          <w:lang w:val="en-US"/>
        </w:rPr>
      </w:pPr>
    </w:p>
    <w:p w:rsidR="0032717C" w:rsidRPr="00F928CF" w:rsidRDefault="0032717C" w:rsidP="0032717C">
      <w:pPr>
        <w:rPr>
          <w:b/>
          <w:lang w:val="en-US"/>
        </w:rPr>
      </w:pPr>
      <w:r w:rsidRPr="00F928CF">
        <w:rPr>
          <w:b/>
          <w:lang w:val="en-US"/>
        </w:rPr>
        <w:t>For each academic idea or quotation:</w:t>
      </w:r>
    </w:p>
    <w:p w:rsidR="0032717C" w:rsidRPr="00F928CF" w:rsidRDefault="0032717C" w:rsidP="0032717C">
      <w:pPr>
        <w:numPr>
          <w:ilvl w:val="0"/>
          <w:numId w:val="2"/>
        </w:numPr>
        <w:spacing w:after="120" w:line="276" w:lineRule="auto"/>
        <w:ind w:left="567" w:hanging="720"/>
        <w:rPr>
          <w:lang w:val="en-US"/>
        </w:rPr>
      </w:pPr>
      <w:r w:rsidRPr="00F928CF">
        <w:rPr>
          <w:lang w:val="en-US"/>
        </w:rPr>
        <w:t>In column 2 of the worksheet, list the textual examples from the episode that you can apply the academic idea to in the set product. This might include examples from:</w:t>
      </w:r>
    </w:p>
    <w:p w:rsidR="0032717C" w:rsidRPr="00F928CF" w:rsidRDefault="0032717C" w:rsidP="0032717C">
      <w:pPr>
        <w:pStyle w:val="bullets"/>
        <w:rPr>
          <w:lang w:val="en-US"/>
        </w:rPr>
      </w:pPr>
      <w:r w:rsidRPr="00F928CF">
        <w:rPr>
          <w:lang w:val="en-US"/>
        </w:rPr>
        <w:t>camerawork</w:t>
      </w:r>
    </w:p>
    <w:p w:rsidR="0032717C" w:rsidRPr="00F928CF" w:rsidRDefault="0032717C" w:rsidP="0032717C">
      <w:pPr>
        <w:pStyle w:val="bullets"/>
        <w:rPr>
          <w:lang w:val="en-US"/>
        </w:rPr>
      </w:pPr>
      <w:r w:rsidRPr="00F928CF">
        <w:rPr>
          <w:lang w:val="en-US"/>
        </w:rPr>
        <w:t>editing</w:t>
      </w:r>
    </w:p>
    <w:p w:rsidR="0032717C" w:rsidRPr="00F928CF" w:rsidRDefault="0032717C" w:rsidP="0032717C">
      <w:pPr>
        <w:pStyle w:val="bullets"/>
        <w:rPr>
          <w:lang w:val="en-US"/>
        </w:rPr>
      </w:pPr>
      <w:r w:rsidRPr="00F928CF">
        <w:rPr>
          <w:lang w:val="en-US"/>
        </w:rPr>
        <w:t>sound</w:t>
      </w:r>
    </w:p>
    <w:p w:rsidR="0032717C" w:rsidRPr="00F928CF" w:rsidRDefault="0032717C" w:rsidP="0032717C">
      <w:pPr>
        <w:pStyle w:val="bullets"/>
        <w:rPr>
          <w:lang w:val="en-US"/>
        </w:rPr>
      </w:pPr>
      <w:proofErr w:type="spellStart"/>
      <w:r w:rsidRPr="00F928CF">
        <w:rPr>
          <w:lang w:val="en-US"/>
        </w:rPr>
        <w:t>mise</w:t>
      </w:r>
      <w:proofErr w:type="spellEnd"/>
      <w:r w:rsidRPr="00F928CF">
        <w:rPr>
          <w:lang w:val="en-US"/>
        </w:rPr>
        <w:t>-</w:t>
      </w:r>
      <w:proofErr w:type="spellStart"/>
      <w:r w:rsidRPr="00F928CF">
        <w:rPr>
          <w:lang w:val="en-US"/>
        </w:rPr>
        <w:t>en</w:t>
      </w:r>
      <w:proofErr w:type="spellEnd"/>
      <w:r w:rsidRPr="00F928CF">
        <w:rPr>
          <w:lang w:val="en-US"/>
        </w:rPr>
        <w:t>-scène</w:t>
      </w:r>
    </w:p>
    <w:p w:rsidR="0032717C" w:rsidRPr="00F928CF" w:rsidRDefault="0032717C" w:rsidP="0032717C">
      <w:pPr>
        <w:pStyle w:val="bullets"/>
        <w:rPr>
          <w:lang w:val="en-US"/>
        </w:rPr>
      </w:pPr>
      <w:r w:rsidRPr="00F928CF">
        <w:rPr>
          <w:lang w:val="en-US"/>
        </w:rPr>
        <w:t>characters</w:t>
      </w:r>
    </w:p>
    <w:p w:rsidR="0032717C" w:rsidRPr="00F928CF" w:rsidRDefault="0032717C" w:rsidP="0032717C">
      <w:pPr>
        <w:pStyle w:val="bullets"/>
        <w:rPr>
          <w:lang w:val="en-US"/>
        </w:rPr>
      </w:pPr>
      <w:r w:rsidRPr="00F928CF">
        <w:rPr>
          <w:lang w:val="en-US"/>
        </w:rPr>
        <w:t>narrative</w:t>
      </w:r>
    </w:p>
    <w:p w:rsidR="0032717C" w:rsidRPr="00F928CF" w:rsidRDefault="0032717C" w:rsidP="0032717C">
      <w:pPr>
        <w:pStyle w:val="bullets"/>
        <w:rPr>
          <w:lang w:val="en-US"/>
        </w:rPr>
      </w:pPr>
      <w:r w:rsidRPr="00F928CF">
        <w:rPr>
          <w:lang w:val="en-US"/>
        </w:rPr>
        <w:t>storyline</w:t>
      </w:r>
    </w:p>
    <w:p w:rsidR="0032717C" w:rsidRDefault="0032717C" w:rsidP="0032717C">
      <w:pPr>
        <w:pStyle w:val="bullets"/>
        <w:spacing w:after="240"/>
        <w:rPr>
          <w:lang w:val="en-US"/>
        </w:rPr>
      </w:pPr>
      <w:r w:rsidRPr="00F928CF">
        <w:rPr>
          <w:lang w:val="en-US"/>
        </w:rPr>
        <w:t>representations of events, issues, people, places.</w:t>
      </w:r>
    </w:p>
    <w:p w:rsidR="0032717C" w:rsidRPr="00F928CF" w:rsidRDefault="0032717C" w:rsidP="0032717C">
      <w:pPr>
        <w:pStyle w:val="bullets"/>
        <w:numPr>
          <w:ilvl w:val="0"/>
          <w:numId w:val="0"/>
        </w:numPr>
        <w:spacing w:after="240"/>
        <w:ind w:left="1134"/>
        <w:rPr>
          <w:lang w:val="en-US"/>
        </w:rPr>
      </w:pPr>
    </w:p>
    <w:p w:rsidR="0032717C" w:rsidRPr="00F928CF" w:rsidRDefault="0032717C" w:rsidP="0032717C">
      <w:pPr>
        <w:numPr>
          <w:ilvl w:val="0"/>
          <w:numId w:val="2"/>
        </w:numPr>
        <w:spacing w:after="120" w:line="276" w:lineRule="auto"/>
        <w:ind w:left="567" w:hanging="567"/>
        <w:rPr>
          <w:lang w:val="en-US"/>
        </w:rPr>
      </w:pPr>
      <w:r w:rsidRPr="00F928CF">
        <w:rPr>
          <w:lang w:val="en-US"/>
        </w:rPr>
        <w:t>In column 3, write down the meaning offered as a result of applying the academic idea to the case study product.</w:t>
      </w:r>
    </w:p>
    <w:p w:rsidR="0032717C" w:rsidRPr="00F928CF" w:rsidRDefault="0032717C" w:rsidP="0032717C">
      <w:pPr>
        <w:pStyle w:val="bullets"/>
        <w:rPr>
          <w:lang w:val="en-US"/>
        </w:rPr>
      </w:pPr>
      <w:r w:rsidRPr="00F928CF">
        <w:rPr>
          <w:lang w:val="en-US"/>
        </w:rPr>
        <w:t>What does the theory help us to understand about the product?</w:t>
      </w:r>
    </w:p>
    <w:p w:rsidR="0032717C" w:rsidRPr="00F928CF" w:rsidRDefault="0032717C" w:rsidP="0032717C">
      <w:pPr>
        <w:pStyle w:val="bullets"/>
        <w:rPr>
          <w:lang w:val="en-US"/>
        </w:rPr>
      </w:pPr>
      <w:r w:rsidRPr="00F928CF">
        <w:rPr>
          <w:lang w:val="en-US"/>
        </w:rPr>
        <w:t>What does the product help us to understand about the theory?</w:t>
      </w:r>
    </w:p>
    <w:p w:rsidR="0032717C" w:rsidRPr="00F928CF" w:rsidRDefault="0032717C" w:rsidP="0032717C">
      <w:pPr>
        <w:pStyle w:val="bullets"/>
        <w:rPr>
          <w:lang w:val="en-US"/>
        </w:rPr>
      </w:pPr>
      <w:r w:rsidRPr="00F928CF">
        <w:rPr>
          <w:lang w:val="en-US"/>
        </w:rPr>
        <w:t>how can the examples in the product help to ‘support’ the theory?</w:t>
      </w:r>
    </w:p>
    <w:p w:rsidR="0032717C" w:rsidRDefault="0032717C" w:rsidP="0032717C">
      <w:pPr>
        <w:pStyle w:val="bullets"/>
        <w:rPr>
          <w:lang w:val="en-US"/>
        </w:rPr>
      </w:pPr>
      <w:r w:rsidRPr="00F928CF">
        <w:rPr>
          <w:lang w:val="en-US"/>
        </w:rPr>
        <w:t>How can the examples in the product ‘challenge’ and question the theory?</w:t>
      </w:r>
    </w:p>
    <w:p w:rsidR="00E6625A" w:rsidRDefault="00E6625A" w:rsidP="00E6625A">
      <w:pPr>
        <w:pStyle w:val="bullets"/>
        <w:numPr>
          <w:ilvl w:val="0"/>
          <w:numId w:val="0"/>
        </w:numPr>
        <w:ind w:left="567"/>
        <w:rPr>
          <w:lang w:val="en-US"/>
        </w:rPr>
      </w:pPr>
    </w:p>
    <w:p w:rsidR="00E6625A" w:rsidRDefault="00E6625A" w:rsidP="00E6625A">
      <w:pPr>
        <w:pStyle w:val="bullets"/>
        <w:numPr>
          <w:ilvl w:val="0"/>
          <w:numId w:val="0"/>
        </w:numPr>
        <w:ind w:left="1134" w:hanging="567"/>
        <w:rPr>
          <w:lang w:val="en-US"/>
        </w:rPr>
      </w:pPr>
      <w:proofErr w:type="spellStart"/>
      <w:r>
        <w:rPr>
          <w:lang w:val="en-US"/>
        </w:rPr>
        <w:t>Summarise</w:t>
      </w:r>
      <w:proofErr w:type="spellEnd"/>
      <w:r>
        <w:rPr>
          <w:lang w:val="en-US"/>
        </w:rPr>
        <w:t xml:space="preserve"> each theory in a simple and creative, but memorable phrase or sentence:</w:t>
      </w:r>
    </w:p>
    <w:p w:rsidR="00713957" w:rsidRPr="00F928CF" w:rsidRDefault="00713957" w:rsidP="00E6625A">
      <w:pPr>
        <w:pStyle w:val="bullets"/>
        <w:numPr>
          <w:ilvl w:val="0"/>
          <w:numId w:val="0"/>
        </w:numPr>
        <w:ind w:left="1134" w:hanging="567"/>
        <w:rPr>
          <w:lang w:val="en-US"/>
        </w:rPr>
      </w:pPr>
    </w:p>
    <w:tbl>
      <w:tblPr>
        <w:tblStyle w:val="TableGrid"/>
        <w:tblW w:w="0" w:type="auto"/>
        <w:tblLook w:val="04A0" w:firstRow="1" w:lastRow="0" w:firstColumn="1" w:lastColumn="0" w:noHBand="0" w:noVBand="1"/>
      </w:tblPr>
      <w:tblGrid>
        <w:gridCol w:w="10456"/>
      </w:tblGrid>
      <w:tr w:rsidR="00E6625A" w:rsidTr="00E6625A">
        <w:tc>
          <w:tcPr>
            <w:tcW w:w="10456" w:type="dxa"/>
          </w:tcPr>
          <w:p w:rsidR="00E6625A" w:rsidRDefault="00106052">
            <w:pPr>
              <w:rPr>
                <w:b/>
                <w:sz w:val="16"/>
              </w:rPr>
            </w:pPr>
            <w:r>
              <w:rPr>
                <w:b/>
                <w:sz w:val="16"/>
              </w:rPr>
              <w:t xml:space="preserve">Hall’s </w:t>
            </w:r>
            <w:proofErr w:type="spellStart"/>
            <w:r>
              <w:rPr>
                <w:b/>
                <w:sz w:val="16"/>
              </w:rPr>
              <w:t>Representaton</w:t>
            </w:r>
            <w:proofErr w:type="spellEnd"/>
            <w:r>
              <w:rPr>
                <w:b/>
                <w:sz w:val="16"/>
              </w:rPr>
              <w:t xml:space="preserve"> Theory.</w:t>
            </w:r>
          </w:p>
          <w:p w:rsidR="00E6625A" w:rsidRPr="00E6625A" w:rsidRDefault="00E6625A">
            <w:pPr>
              <w:rPr>
                <w:b/>
                <w:sz w:val="16"/>
              </w:rPr>
            </w:pPr>
          </w:p>
          <w:p w:rsidR="00E6625A" w:rsidRPr="00E6625A" w:rsidRDefault="00E6625A">
            <w:pPr>
              <w:rPr>
                <w:b/>
                <w:sz w:val="16"/>
              </w:rPr>
            </w:pPr>
          </w:p>
        </w:tc>
      </w:tr>
      <w:tr w:rsidR="00E6625A" w:rsidTr="00E6625A">
        <w:tc>
          <w:tcPr>
            <w:tcW w:w="10456" w:type="dxa"/>
          </w:tcPr>
          <w:p w:rsidR="00E6625A" w:rsidRDefault="00EA37E7">
            <w:pPr>
              <w:rPr>
                <w:b/>
                <w:sz w:val="16"/>
              </w:rPr>
            </w:pPr>
            <w:proofErr w:type="spellStart"/>
            <w:r>
              <w:rPr>
                <w:b/>
                <w:sz w:val="16"/>
              </w:rPr>
              <w:t>Gau</w:t>
            </w:r>
            <w:r w:rsidR="00106052">
              <w:rPr>
                <w:b/>
                <w:sz w:val="16"/>
              </w:rPr>
              <w:t>ntlett</w:t>
            </w:r>
            <w:proofErr w:type="spellEnd"/>
            <w:r w:rsidR="00106052">
              <w:rPr>
                <w:b/>
                <w:sz w:val="16"/>
              </w:rPr>
              <w:t xml:space="preserve"> Identity Theory</w:t>
            </w:r>
          </w:p>
          <w:p w:rsidR="00E6625A" w:rsidRPr="00E6625A" w:rsidRDefault="00E6625A">
            <w:pPr>
              <w:rPr>
                <w:b/>
                <w:sz w:val="16"/>
              </w:rPr>
            </w:pPr>
          </w:p>
          <w:p w:rsidR="00E6625A" w:rsidRPr="00E6625A" w:rsidRDefault="00E6625A">
            <w:pPr>
              <w:rPr>
                <w:b/>
                <w:sz w:val="16"/>
              </w:rPr>
            </w:pPr>
          </w:p>
        </w:tc>
      </w:tr>
      <w:tr w:rsidR="00E6625A" w:rsidTr="00E6625A">
        <w:tc>
          <w:tcPr>
            <w:tcW w:w="10456" w:type="dxa"/>
          </w:tcPr>
          <w:p w:rsidR="00E6625A" w:rsidRPr="00E6625A" w:rsidRDefault="00106052">
            <w:pPr>
              <w:rPr>
                <w:b/>
                <w:sz w:val="16"/>
              </w:rPr>
            </w:pPr>
            <w:r>
              <w:rPr>
                <w:b/>
                <w:sz w:val="16"/>
              </w:rPr>
              <w:t xml:space="preserve">Van </w:t>
            </w:r>
            <w:proofErr w:type="spellStart"/>
            <w:r>
              <w:rPr>
                <w:b/>
                <w:sz w:val="16"/>
              </w:rPr>
              <w:t>Zoonen</w:t>
            </w:r>
            <w:proofErr w:type="spellEnd"/>
            <w:r>
              <w:rPr>
                <w:b/>
                <w:sz w:val="16"/>
              </w:rPr>
              <w:t xml:space="preserve"> Patriarchal Society</w:t>
            </w:r>
          </w:p>
          <w:p w:rsidR="00E6625A" w:rsidRPr="00E6625A" w:rsidRDefault="00E6625A">
            <w:pPr>
              <w:rPr>
                <w:b/>
                <w:sz w:val="16"/>
              </w:rPr>
            </w:pPr>
          </w:p>
          <w:p w:rsidR="00E6625A" w:rsidRPr="00E6625A" w:rsidRDefault="00E6625A">
            <w:pPr>
              <w:rPr>
                <w:b/>
                <w:sz w:val="16"/>
              </w:rPr>
            </w:pPr>
          </w:p>
        </w:tc>
      </w:tr>
      <w:tr w:rsidR="00E6625A" w:rsidTr="00E6625A">
        <w:tc>
          <w:tcPr>
            <w:tcW w:w="10456" w:type="dxa"/>
          </w:tcPr>
          <w:p w:rsidR="00E6625A" w:rsidRDefault="00106052">
            <w:pPr>
              <w:rPr>
                <w:b/>
                <w:sz w:val="16"/>
              </w:rPr>
            </w:pPr>
            <w:r>
              <w:rPr>
                <w:b/>
                <w:sz w:val="16"/>
              </w:rPr>
              <w:t>Hooks Feminist Theory</w:t>
            </w:r>
          </w:p>
          <w:p w:rsidR="00106052" w:rsidRPr="00E6625A" w:rsidRDefault="00106052">
            <w:pPr>
              <w:rPr>
                <w:b/>
                <w:sz w:val="16"/>
              </w:rPr>
            </w:pPr>
          </w:p>
          <w:p w:rsidR="00E6625A" w:rsidRPr="00E6625A" w:rsidRDefault="00E6625A">
            <w:pPr>
              <w:rPr>
                <w:b/>
                <w:sz w:val="16"/>
              </w:rPr>
            </w:pPr>
          </w:p>
        </w:tc>
      </w:tr>
      <w:tr w:rsidR="00E6625A" w:rsidTr="00E6625A">
        <w:tc>
          <w:tcPr>
            <w:tcW w:w="10456" w:type="dxa"/>
          </w:tcPr>
          <w:p w:rsidR="00E6625A" w:rsidRPr="00E6625A" w:rsidRDefault="00106052">
            <w:pPr>
              <w:rPr>
                <w:b/>
                <w:sz w:val="16"/>
              </w:rPr>
            </w:pPr>
            <w:r>
              <w:rPr>
                <w:b/>
                <w:sz w:val="16"/>
              </w:rPr>
              <w:t xml:space="preserve">Butler Gender Performativity Theory </w:t>
            </w:r>
          </w:p>
          <w:p w:rsidR="00E6625A" w:rsidRPr="00E6625A" w:rsidRDefault="00E6625A">
            <w:pPr>
              <w:rPr>
                <w:b/>
                <w:sz w:val="16"/>
              </w:rPr>
            </w:pPr>
          </w:p>
          <w:p w:rsidR="00E6625A" w:rsidRPr="00E6625A" w:rsidRDefault="00E6625A">
            <w:pPr>
              <w:rPr>
                <w:b/>
                <w:sz w:val="16"/>
              </w:rPr>
            </w:pPr>
          </w:p>
        </w:tc>
      </w:tr>
      <w:tr w:rsidR="00106052" w:rsidTr="00E6625A">
        <w:tc>
          <w:tcPr>
            <w:tcW w:w="10456" w:type="dxa"/>
          </w:tcPr>
          <w:p w:rsidR="00106052" w:rsidRDefault="00106052">
            <w:pPr>
              <w:rPr>
                <w:b/>
                <w:sz w:val="16"/>
              </w:rPr>
            </w:pPr>
            <w:r>
              <w:rPr>
                <w:b/>
                <w:sz w:val="16"/>
              </w:rPr>
              <w:t>Gilroy Post-Colonialism Theory</w:t>
            </w:r>
          </w:p>
          <w:p w:rsidR="00106052" w:rsidRDefault="00106052">
            <w:pPr>
              <w:rPr>
                <w:b/>
                <w:sz w:val="16"/>
              </w:rPr>
            </w:pPr>
          </w:p>
          <w:p w:rsidR="00106052" w:rsidRDefault="00106052">
            <w:pPr>
              <w:rPr>
                <w:b/>
                <w:sz w:val="16"/>
              </w:rPr>
            </w:pPr>
          </w:p>
        </w:tc>
      </w:tr>
    </w:tbl>
    <w:p w:rsidR="008052A9" w:rsidRDefault="0032717C">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lastRenderedPageBreak/>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EA37E7" w:rsidRDefault="00106052" w:rsidP="00106052">
            <w:pPr>
              <w:pStyle w:val="Tabletext"/>
              <w:rPr>
                <w:rFonts w:cs="Arial"/>
                <w:b/>
                <w:color w:val="FF6600"/>
              </w:rPr>
            </w:pPr>
            <w:r>
              <w:rPr>
                <w:rFonts w:cs="Arial"/>
              </w:rPr>
              <w:t xml:space="preserve">Hall argues that representation is not about whether the media reflects or distorts reality, as this implies that there can be on ‘true’ meaning, but the many meanings a representation can generate. </w:t>
            </w:r>
            <w:r w:rsidR="00EA37E7">
              <w:rPr>
                <w:rFonts w:cs="Arial"/>
              </w:rPr>
              <w:t xml:space="preserve">Meaning is constituted by representation, by what is present, what is absent and what is different. The focus is on the use of stereotypes to create fixed meaning. To create anti-stereotypes is still to attempt to fix the meaning but just in a different way. </w:t>
            </w:r>
            <w:r w:rsidR="00EA37E7">
              <w:rPr>
                <w:rFonts w:cs="Arial"/>
                <w:b/>
              </w:rPr>
              <w:t>(Hall) – Representations Theory</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EA37E7" w:rsidRDefault="00EA37E7" w:rsidP="008052A9">
            <w:pPr>
              <w:pStyle w:val="Tabletext"/>
              <w:rPr>
                <w:rFonts w:cs="Arial"/>
                <w:b/>
                <w:color w:val="FF6600"/>
              </w:rPr>
            </w:pPr>
            <w:bookmarkStart w:id="0" w:name="_GoBack"/>
            <w:proofErr w:type="spellStart"/>
            <w:r>
              <w:rPr>
                <w:rFonts w:cs="Arial"/>
              </w:rPr>
              <w:t>Gauntlett</w:t>
            </w:r>
            <w:proofErr w:type="spellEnd"/>
            <w:r>
              <w:rPr>
                <w:rFonts w:cs="Arial"/>
              </w:rPr>
              <w:t xml:space="preserve"> argued that the media have an important but complex relationship with identities. In the modern world it is now an expectation that individuals make choices about their identity and lifestyle. </w:t>
            </w:r>
            <w:proofErr w:type="spellStart"/>
            <w:r>
              <w:rPr>
                <w:rFonts w:cs="Arial"/>
              </w:rPr>
              <w:t>Gauntlett</w:t>
            </w:r>
            <w:proofErr w:type="spellEnd"/>
            <w:r>
              <w:rPr>
                <w:rFonts w:cs="Arial"/>
              </w:rPr>
              <w:t xml:space="preserve"> argues that there needs to be diverse representations in order for audiences to have the ability to freely and successfully identify themselves. </w:t>
            </w:r>
            <w:bookmarkEnd w:id="0"/>
            <w:r w:rsidR="0045253E">
              <w:rPr>
                <w:rFonts w:cs="Arial"/>
                <w:b/>
              </w:rPr>
              <w:t>(</w:t>
            </w:r>
            <w:proofErr w:type="spellStart"/>
            <w:r>
              <w:rPr>
                <w:rFonts w:cs="Arial"/>
                <w:b/>
              </w:rPr>
              <w:t>Gauntlett</w:t>
            </w:r>
            <w:proofErr w:type="spellEnd"/>
            <w:r>
              <w:rPr>
                <w:rFonts w:cs="Arial"/>
                <w:b/>
              </w:rPr>
              <w:t xml:space="preserve"> – Identity Theory). </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45253E" w:rsidRDefault="0045253E" w:rsidP="008052A9">
            <w:pPr>
              <w:pStyle w:val="Tabletext"/>
              <w:rPr>
                <w:b/>
              </w:rPr>
            </w:pPr>
            <w:r>
              <w:rPr>
                <w:rFonts w:cs="Arial"/>
              </w:rPr>
              <w:t xml:space="preserve">Van </w:t>
            </w:r>
            <w:proofErr w:type="spellStart"/>
            <w:r>
              <w:rPr>
                <w:rFonts w:cs="Arial"/>
              </w:rPr>
              <w:t>Zoonen</w:t>
            </w:r>
            <w:proofErr w:type="spellEnd"/>
            <w:r>
              <w:rPr>
                <w:rFonts w:cs="Arial"/>
              </w:rPr>
              <w:t xml:space="preserve"> argues that the way women’s bodies are represented as objects in patriarchal culture is different to the representation of male bodies as a spectacle</w:t>
            </w:r>
            <w:r>
              <w:t xml:space="preserve">. She agrees with Butler that gender is performative and contextual. Furthermore, that women need to break free from stereotypical representations in order to break free from misconceptions surrounding gender. </w:t>
            </w:r>
            <w:r>
              <w:rPr>
                <w:b/>
              </w:rPr>
              <w:t xml:space="preserve">(Van </w:t>
            </w:r>
            <w:proofErr w:type="spellStart"/>
            <w:r>
              <w:rPr>
                <w:b/>
              </w:rPr>
              <w:t>Zoonen</w:t>
            </w:r>
            <w:proofErr w:type="spellEnd"/>
            <w:r>
              <w:rPr>
                <w:b/>
              </w:rPr>
              <w:t xml:space="preserve"> Patriarchal Society) </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45253E" w:rsidRDefault="0045253E" w:rsidP="008052A9">
            <w:pPr>
              <w:pStyle w:val="Tabletext"/>
              <w:rPr>
                <w:rFonts w:cs="Arial"/>
                <w:b/>
                <w:color w:val="FF6600"/>
              </w:rPr>
            </w:pPr>
            <w:r>
              <w:rPr>
                <w:rFonts w:cs="Arial"/>
              </w:rPr>
              <w:t>Hooks’ concept of ‘intersectionality’ – that intersections of gender, race, class and sexuality create a ‘white supremacist capitalist patriarchy’ whose ideologies dominate media representations – is it a high-level theory. (</w:t>
            </w:r>
            <w:r>
              <w:rPr>
                <w:rFonts w:cs="Arial"/>
                <w:b/>
              </w:rPr>
              <w:t xml:space="preserve">Hooks Feminist Theory) </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504"/>
        <w:gridCol w:w="3466"/>
        <w:gridCol w:w="4055"/>
      </w:tblGrid>
      <w:tr w:rsidR="008052A9" w:rsidRPr="00F928CF" w:rsidTr="00505285">
        <w:trPr>
          <w:trHeight w:val="858"/>
          <w:tblHeader/>
        </w:trPr>
        <w:tc>
          <w:tcPr>
            <w:tcW w:w="2504"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46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4054"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505285">
        <w:trPr>
          <w:trHeight w:val="454"/>
          <w:tblHeader/>
        </w:trPr>
        <w:tc>
          <w:tcPr>
            <w:tcW w:w="10025" w:type="dxa"/>
            <w:gridSpan w:val="3"/>
            <w:shd w:val="clear" w:color="auto" w:fill="auto"/>
          </w:tcPr>
          <w:p w:rsidR="008052A9" w:rsidRPr="003A64DB" w:rsidRDefault="003A64DB" w:rsidP="003A64DB">
            <w:r w:rsidRPr="003A64DB">
              <w:t xml:space="preserve"> Performativity of gender is a stylized repetition of acts, an imitation or miming of the dominant conventions of gender. Butler argues that “the act that one does, the act that one performs is, in a sense, an act that’s been going on before one arrived on the scene” (Gender Trouble). “Gender is an impersonation . . . becoming gendered involves impersonating an ideal </w:t>
            </w:r>
            <w:r>
              <w:t xml:space="preserve">that nobody actually inhabits” </w:t>
            </w:r>
            <w:r w:rsidRPr="003A64DB">
              <w:rPr>
                <w:b/>
              </w:rPr>
              <w:t>(Butler Gender Performativity)</w:t>
            </w:r>
            <w:r w:rsidRPr="003A64DB">
              <w:t xml:space="preserve"> </w:t>
            </w:r>
          </w:p>
        </w:tc>
      </w:tr>
      <w:tr w:rsidR="008052A9" w:rsidRPr="00F928CF" w:rsidTr="00505285">
        <w:trPr>
          <w:trHeight w:val="5063"/>
          <w:tblHeader/>
        </w:trPr>
        <w:tc>
          <w:tcPr>
            <w:tcW w:w="2504" w:type="dxa"/>
          </w:tcPr>
          <w:p w:rsidR="008052A9" w:rsidRPr="00F928CF" w:rsidRDefault="008052A9" w:rsidP="00425443">
            <w:pPr>
              <w:pStyle w:val="Tabletext"/>
              <w:rPr>
                <w:rFonts w:cs="Arial"/>
                <w:b/>
              </w:rPr>
            </w:pPr>
            <w:r w:rsidRPr="00F928CF">
              <w:rPr>
                <w:rFonts w:cs="Arial"/>
                <w:b/>
              </w:rPr>
              <w:t>Set product 1</w:t>
            </w:r>
          </w:p>
        </w:tc>
        <w:tc>
          <w:tcPr>
            <w:tcW w:w="3466"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4054" w:type="dxa"/>
          </w:tcPr>
          <w:p w:rsidR="008052A9" w:rsidRPr="00F928CF" w:rsidRDefault="008052A9" w:rsidP="00425443">
            <w:pPr>
              <w:pStyle w:val="Tabletext"/>
              <w:rPr>
                <w:rFonts w:cs="Arial"/>
              </w:rPr>
            </w:pPr>
          </w:p>
        </w:tc>
      </w:tr>
      <w:tr w:rsidR="008052A9" w:rsidRPr="00F928CF" w:rsidTr="00505285">
        <w:trPr>
          <w:trHeight w:val="4770"/>
          <w:tblHeader/>
        </w:trPr>
        <w:tc>
          <w:tcPr>
            <w:tcW w:w="2504"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466"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4054" w:type="dxa"/>
            <w:tcBorders>
              <w:bottom w:val="single" w:sz="4" w:space="0" w:color="2C6350"/>
            </w:tcBorders>
          </w:tcPr>
          <w:p w:rsidR="008052A9" w:rsidRPr="00F928CF" w:rsidRDefault="008052A9" w:rsidP="00425443">
            <w:pPr>
              <w:pStyle w:val="Tabletext"/>
              <w:rPr>
                <w:rFonts w:cs="Arial"/>
              </w:rPr>
            </w:pPr>
          </w:p>
        </w:tc>
      </w:tr>
    </w:tbl>
    <w:p w:rsidR="003A64DB" w:rsidRDefault="003A64DB"/>
    <w:p w:rsidR="003A64DB" w:rsidRDefault="003A64DB">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504"/>
        <w:gridCol w:w="3466"/>
        <w:gridCol w:w="4055"/>
      </w:tblGrid>
      <w:tr w:rsidR="003A64DB" w:rsidRPr="00F928CF" w:rsidTr="009579DB">
        <w:trPr>
          <w:trHeight w:val="858"/>
          <w:tblHeader/>
        </w:trPr>
        <w:tc>
          <w:tcPr>
            <w:tcW w:w="2504" w:type="dxa"/>
            <w:tcBorders>
              <w:bottom w:val="single" w:sz="4" w:space="0" w:color="2C6350"/>
            </w:tcBorders>
            <w:shd w:val="clear" w:color="auto" w:fill="D4ECE3"/>
            <w:vAlign w:val="center"/>
          </w:tcPr>
          <w:p w:rsidR="003A64DB" w:rsidRPr="00F928CF" w:rsidRDefault="003A64DB" w:rsidP="009579DB">
            <w:pPr>
              <w:pStyle w:val="Tabletext"/>
              <w:rPr>
                <w:rFonts w:cs="Arial"/>
                <w:b/>
              </w:rPr>
            </w:pPr>
            <w:r w:rsidRPr="00F928CF">
              <w:rPr>
                <w:rFonts w:cs="Arial"/>
                <w:b/>
              </w:rPr>
              <w:t>Set product</w:t>
            </w:r>
          </w:p>
        </w:tc>
        <w:tc>
          <w:tcPr>
            <w:tcW w:w="3466" w:type="dxa"/>
            <w:tcBorders>
              <w:bottom w:val="single" w:sz="4" w:space="0" w:color="2C6350"/>
            </w:tcBorders>
            <w:shd w:val="clear" w:color="auto" w:fill="D4ECE3"/>
            <w:vAlign w:val="center"/>
          </w:tcPr>
          <w:p w:rsidR="003A64DB" w:rsidRPr="00F928CF" w:rsidRDefault="003A64DB" w:rsidP="009579DB">
            <w:pPr>
              <w:pStyle w:val="Tabletext"/>
              <w:rPr>
                <w:rFonts w:cs="Arial"/>
                <w:b/>
              </w:rPr>
            </w:pPr>
            <w:r w:rsidRPr="00F928CF">
              <w:rPr>
                <w:rFonts w:cs="Arial"/>
                <w:b/>
              </w:rPr>
              <w:t>Examples from episode 1 of the set product the idea can be applied to</w:t>
            </w:r>
          </w:p>
        </w:tc>
        <w:tc>
          <w:tcPr>
            <w:tcW w:w="4054" w:type="dxa"/>
            <w:tcBorders>
              <w:bottom w:val="single" w:sz="4" w:space="0" w:color="2C6350"/>
            </w:tcBorders>
            <w:shd w:val="clear" w:color="auto" w:fill="D4ECE3"/>
            <w:vAlign w:val="center"/>
          </w:tcPr>
          <w:p w:rsidR="003A64DB" w:rsidRPr="00F928CF" w:rsidRDefault="003A64DB" w:rsidP="009579DB">
            <w:pPr>
              <w:pStyle w:val="Tabletext"/>
              <w:rPr>
                <w:rFonts w:cs="Arial"/>
                <w:b/>
              </w:rPr>
            </w:pPr>
            <w:r w:rsidRPr="00F928CF">
              <w:rPr>
                <w:rFonts w:cs="Arial"/>
                <w:b/>
              </w:rPr>
              <w:t>What meaning can the idea and examples offer – what does it tell us?</w:t>
            </w:r>
          </w:p>
        </w:tc>
      </w:tr>
      <w:tr w:rsidR="003A64DB" w:rsidRPr="00F928CF" w:rsidTr="009579DB">
        <w:trPr>
          <w:trHeight w:val="454"/>
          <w:tblHeader/>
        </w:trPr>
        <w:tc>
          <w:tcPr>
            <w:tcW w:w="10025" w:type="dxa"/>
            <w:gridSpan w:val="3"/>
            <w:shd w:val="clear" w:color="auto" w:fill="auto"/>
          </w:tcPr>
          <w:p w:rsidR="003A64DB" w:rsidRPr="00904C23" w:rsidRDefault="003A64DB" w:rsidP="003A64DB">
            <w:pPr>
              <w:rPr>
                <w:b/>
              </w:rPr>
            </w:pPr>
            <w:r>
              <w:t xml:space="preserve">Gilroy argues that post-colonial melancholy still remains within the UK, and that this drives certain attitudes towards other races. The theory insists that the media portray White British as superior to other races, and that a racial hierarchy is enforced through media texts. Other races are portrayed as “others” that require help or are dangerous and exotic, whereas White British (or just British in some cases) are civilized. </w:t>
            </w:r>
            <w:r w:rsidR="00904C23">
              <w:rPr>
                <w:b/>
              </w:rPr>
              <w:t xml:space="preserve">(Gilroy Post-Colonialism) </w:t>
            </w:r>
          </w:p>
        </w:tc>
      </w:tr>
      <w:tr w:rsidR="003A64DB" w:rsidRPr="00F928CF" w:rsidTr="009579DB">
        <w:trPr>
          <w:trHeight w:val="5063"/>
          <w:tblHeader/>
        </w:trPr>
        <w:tc>
          <w:tcPr>
            <w:tcW w:w="2504" w:type="dxa"/>
          </w:tcPr>
          <w:p w:rsidR="003A64DB" w:rsidRPr="00F928CF" w:rsidRDefault="003A64DB" w:rsidP="009579DB">
            <w:pPr>
              <w:pStyle w:val="Tabletext"/>
              <w:rPr>
                <w:rFonts w:cs="Arial"/>
                <w:b/>
              </w:rPr>
            </w:pPr>
            <w:r w:rsidRPr="00F928CF">
              <w:rPr>
                <w:rFonts w:cs="Arial"/>
                <w:b/>
              </w:rPr>
              <w:t>Set product 1</w:t>
            </w:r>
          </w:p>
        </w:tc>
        <w:tc>
          <w:tcPr>
            <w:tcW w:w="3466" w:type="dxa"/>
          </w:tcPr>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tc>
        <w:tc>
          <w:tcPr>
            <w:tcW w:w="4054" w:type="dxa"/>
          </w:tcPr>
          <w:p w:rsidR="003A64DB" w:rsidRPr="00F928CF" w:rsidRDefault="003A64DB" w:rsidP="009579DB">
            <w:pPr>
              <w:pStyle w:val="Tabletext"/>
              <w:rPr>
                <w:rFonts w:cs="Arial"/>
              </w:rPr>
            </w:pPr>
          </w:p>
        </w:tc>
      </w:tr>
      <w:tr w:rsidR="003A64DB" w:rsidRPr="00F928CF" w:rsidTr="009579DB">
        <w:trPr>
          <w:trHeight w:val="4770"/>
          <w:tblHeader/>
        </w:trPr>
        <w:tc>
          <w:tcPr>
            <w:tcW w:w="2504" w:type="dxa"/>
            <w:tcBorders>
              <w:bottom w:val="single" w:sz="4" w:space="0" w:color="2C6350"/>
            </w:tcBorders>
          </w:tcPr>
          <w:p w:rsidR="003A64DB" w:rsidRPr="00F928CF" w:rsidRDefault="003A64DB" w:rsidP="009579DB">
            <w:pPr>
              <w:pStyle w:val="Tabletext"/>
              <w:rPr>
                <w:rFonts w:cs="Arial"/>
                <w:b/>
              </w:rPr>
            </w:pPr>
            <w:r w:rsidRPr="00F928CF">
              <w:rPr>
                <w:rFonts w:cs="Arial"/>
                <w:b/>
              </w:rPr>
              <w:t>Set product 2</w:t>
            </w:r>
          </w:p>
        </w:tc>
        <w:tc>
          <w:tcPr>
            <w:tcW w:w="3466" w:type="dxa"/>
            <w:tcBorders>
              <w:bottom w:val="single" w:sz="4" w:space="0" w:color="2C6350"/>
            </w:tcBorders>
          </w:tcPr>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p w:rsidR="003A64DB" w:rsidRPr="00F928CF" w:rsidRDefault="003A64DB" w:rsidP="009579DB">
            <w:pPr>
              <w:pStyle w:val="Tabletext"/>
              <w:rPr>
                <w:rFonts w:cs="Arial"/>
              </w:rPr>
            </w:pPr>
          </w:p>
        </w:tc>
        <w:tc>
          <w:tcPr>
            <w:tcW w:w="4054" w:type="dxa"/>
            <w:tcBorders>
              <w:bottom w:val="single" w:sz="4" w:space="0" w:color="2C6350"/>
            </w:tcBorders>
          </w:tcPr>
          <w:p w:rsidR="003A64DB" w:rsidRPr="00F928CF" w:rsidRDefault="003A64DB" w:rsidP="009579DB">
            <w:pPr>
              <w:pStyle w:val="Tabletext"/>
              <w:rPr>
                <w:rFonts w:cs="Arial"/>
              </w:rPr>
            </w:pPr>
          </w:p>
        </w:tc>
      </w:tr>
    </w:tbl>
    <w:p w:rsidR="00C41AFE" w:rsidRDefault="00C41AFE"/>
    <w:sectPr w:rsidR="00C41AFE" w:rsidSect="008052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261F8"/>
    <w:multiLevelType w:val="hybridMultilevel"/>
    <w:tmpl w:val="46DE4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A7393"/>
    <w:multiLevelType w:val="hybridMultilevel"/>
    <w:tmpl w:val="2918062A"/>
    <w:lvl w:ilvl="0" w:tplc="B8E0DB8C">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A9"/>
    <w:rsid w:val="00106052"/>
    <w:rsid w:val="001A47FD"/>
    <w:rsid w:val="002E1388"/>
    <w:rsid w:val="00323CA6"/>
    <w:rsid w:val="0032717C"/>
    <w:rsid w:val="003A64DB"/>
    <w:rsid w:val="0045056E"/>
    <w:rsid w:val="0045253E"/>
    <w:rsid w:val="00505285"/>
    <w:rsid w:val="006E0A71"/>
    <w:rsid w:val="006E0E63"/>
    <w:rsid w:val="00713957"/>
    <w:rsid w:val="008052A9"/>
    <w:rsid w:val="00904C23"/>
    <w:rsid w:val="00C41AFE"/>
    <w:rsid w:val="00CA23EE"/>
    <w:rsid w:val="00D80B08"/>
    <w:rsid w:val="00E6625A"/>
    <w:rsid w:val="00EA37E7"/>
    <w:rsid w:val="00EA7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92E5"/>
  <w15:chartTrackingRefBased/>
  <w15:docId w15:val="{117546CA-D7FB-4FEC-93CB-A2BC75BC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8052A9"/>
    <w:pPr>
      <w:spacing w:before="40" w:after="40" w:line="276" w:lineRule="auto"/>
    </w:pPr>
    <w:rPr>
      <w:rFonts w:ascii="Arial" w:eastAsia="Calibri" w:hAnsi="Arial" w:cs="Times New Roman"/>
    </w:rPr>
  </w:style>
  <w:style w:type="table" w:customStyle="1" w:styleId="TableGrid10">
    <w:name w:val="Table Grid10"/>
    <w:basedOn w:val="TableNormal"/>
    <w:next w:val="TableGrid"/>
    <w:uiPriority w:val="59"/>
    <w:rsid w:val="008052A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17C"/>
    <w:pPr>
      <w:numPr>
        <w:numId w:val="1"/>
      </w:numPr>
      <w:contextualSpacing/>
    </w:pPr>
    <w:rPr>
      <w:rFonts w:ascii="Calibri" w:eastAsia="Calibri" w:hAnsi="Calibri" w:cs="Times New Roman"/>
    </w:rPr>
  </w:style>
  <w:style w:type="paragraph" w:customStyle="1" w:styleId="bullets">
    <w:name w:val="bullets"/>
    <w:basedOn w:val="ListParagraph"/>
    <w:qFormat/>
    <w:rsid w:val="0032717C"/>
    <w:pPr>
      <w:spacing w:after="120" w:line="276" w:lineRule="auto"/>
      <w:ind w:left="1134" w:hanging="567"/>
      <w:contextualSpacing w:val="0"/>
    </w:pPr>
    <w:rPr>
      <w:rFonts w:ascii="Arial" w:hAnsi="Arial"/>
    </w:rPr>
  </w:style>
  <w:style w:type="paragraph" w:styleId="BalloonText">
    <w:name w:val="Balloon Text"/>
    <w:basedOn w:val="Normal"/>
    <w:link w:val="BalloonTextChar"/>
    <w:uiPriority w:val="99"/>
    <w:semiHidden/>
    <w:unhideWhenUsed/>
    <w:rsid w:val="002E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Prior</dc:creator>
  <cp:keywords/>
  <dc:description/>
  <cp:lastModifiedBy>Thomas Prior</cp:lastModifiedBy>
  <cp:revision>6</cp:revision>
  <cp:lastPrinted>2019-03-15T12:22:00Z</cp:lastPrinted>
  <dcterms:created xsi:type="dcterms:W3CDTF">2019-03-15T11:55:00Z</dcterms:created>
  <dcterms:modified xsi:type="dcterms:W3CDTF">2019-03-15T12:36:00Z</dcterms:modified>
</cp:coreProperties>
</file>