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52A9" w:rsidRDefault="008052A9"/>
    <w:p w:rsidR="0032717C" w:rsidRPr="00D41B4F" w:rsidRDefault="0032717C" w:rsidP="0032717C">
      <w:pPr>
        <w:jc w:val="center"/>
        <w:rPr>
          <w:b/>
          <w:u w:val="single"/>
        </w:rPr>
      </w:pPr>
      <w:r>
        <w:rPr>
          <w:b/>
          <w:u w:val="single"/>
        </w:rPr>
        <w:t>Audience</w:t>
      </w:r>
      <w:r w:rsidRPr="00D41B4F">
        <w:rPr>
          <w:b/>
          <w:u w:val="single"/>
        </w:rPr>
        <w:t xml:space="preserve"> Theory</w:t>
      </w:r>
    </w:p>
    <w:p w:rsidR="0032717C" w:rsidRPr="00D41B4F" w:rsidRDefault="0032717C" w:rsidP="0032717C">
      <w:pPr>
        <w:jc w:val="center"/>
        <w:rPr>
          <w:b/>
          <w:u w:val="single"/>
        </w:rPr>
      </w:pPr>
      <w:r w:rsidRPr="00D41B4F">
        <w:rPr>
          <w:b/>
          <w:u w:val="single"/>
        </w:rPr>
        <w:t>Apply to LFTD</w:t>
      </w:r>
    </w:p>
    <w:p w:rsidR="0032717C" w:rsidRDefault="0032717C" w:rsidP="0032717C">
      <w:pPr>
        <w:rPr>
          <w:b/>
          <w:lang w:val="en-US"/>
        </w:rPr>
      </w:pPr>
    </w:p>
    <w:p w:rsidR="0032717C" w:rsidRPr="00F928CF" w:rsidRDefault="0032717C" w:rsidP="0032717C">
      <w:pPr>
        <w:rPr>
          <w:b/>
          <w:lang w:val="en-US"/>
        </w:rPr>
      </w:pPr>
      <w:r w:rsidRPr="00F928CF">
        <w:rPr>
          <w:b/>
          <w:lang w:val="en-US"/>
        </w:rPr>
        <w:t>For each academic idea or quotation:</w:t>
      </w:r>
    </w:p>
    <w:p w:rsidR="0032717C" w:rsidRPr="00F928CF" w:rsidRDefault="0032717C" w:rsidP="0032717C">
      <w:pPr>
        <w:numPr>
          <w:ilvl w:val="0"/>
          <w:numId w:val="2"/>
        </w:numPr>
        <w:spacing w:after="120" w:line="276" w:lineRule="auto"/>
        <w:ind w:left="567" w:hanging="720"/>
        <w:rPr>
          <w:lang w:val="en-US"/>
        </w:rPr>
      </w:pPr>
      <w:r w:rsidRPr="00F928CF">
        <w:rPr>
          <w:lang w:val="en-US"/>
        </w:rPr>
        <w:t>In column 2 of the worksheet, list the textual examples from the episode that you can apply the academic idea to in the set product. This might include examples from:</w:t>
      </w:r>
    </w:p>
    <w:p w:rsidR="0032717C" w:rsidRPr="00F928CF" w:rsidRDefault="0032717C" w:rsidP="0032717C">
      <w:pPr>
        <w:pStyle w:val="bullets"/>
        <w:rPr>
          <w:lang w:val="en-US"/>
        </w:rPr>
      </w:pPr>
      <w:r w:rsidRPr="00F928CF">
        <w:rPr>
          <w:lang w:val="en-US"/>
        </w:rPr>
        <w:t>camerawork</w:t>
      </w:r>
    </w:p>
    <w:p w:rsidR="0032717C" w:rsidRPr="00F928CF" w:rsidRDefault="0032717C" w:rsidP="0032717C">
      <w:pPr>
        <w:pStyle w:val="bullets"/>
        <w:rPr>
          <w:lang w:val="en-US"/>
        </w:rPr>
      </w:pPr>
      <w:r w:rsidRPr="00F928CF">
        <w:rPr>
          <w:lang w:val="en-US"/>
        </w:rPr>
        <w:t>editing</w:t>
      </w:r>
    </w:p>
    <w:p w:rsidR="0032717C" w:rsidRPr="00F928CF" w:rsidRDefault="0032717C" w:rsidP="0032717C">
      <w:pPr>
        <w:pStyle w:val="bullets"/>
        <w:rPr>
          <w:lang w:val="en-US"/>
        </w:rPr>
      </w:pPr>
      <w:r w:rsidRPr="00F928CF">
        <w:rPr>
          <w:lang w:val="en-US"/>
        </w:rPr>
        <w:t>sound</w:t>
      </w:r>
    </w:p>
    <w:p w:rsidR="0032717C" w:rsidRPr="00F928CF" w:rsidRDefault="0032717C" w:rsidP="0032717C">
      <w:pPr>
        <w:pStyle w:val="bullets"/>
        <w:rPr>
          <w:lang w:val="en-US"/>
        </w:rPr>
      </w:pPr>
      <w:proofErr w:type="spellStart"/>
      <w:r w:rsidRPr="00F928CF">
        <w:rPr>
          <w:lang w:val="en-US"/>
        </w:rPr>
        <w:t>mise</w:t>
      </w:r>
      <w:proofErr w:type="spellEnd"/>
      <w:r w:rsidRPr="00F928CF">
        <w:rPr>
          <w:lang w:val="en-US"/>
        </w:rPr>
        <w:t>-</w:t>
      </w:r>
      <w:proofErr w:type="spellStart"/>
      <w:r w:rsidRPr="00F928CF">
        <w:rPr>
          <w:lang w:val="en-US"/>
        </w:rPr>
        <w:t>en</w:t>
      </w:r>
      <w:proofErr w:type="spellEnd"/>
      <w:r w:rsidRPr="00F928CF">
        <w:rPr>
          <w:lang w:val="en-US"/>
        </w:rPr>
        <w:t>-scène</w:t>
      </w:r>
    </w:p>
    <w:p w:rsidR="0032717C" w:rsidRPr="00F928CF" w:rsidRDefault="0032717C" w:rsidP="0032717C">
      <w:pPr>
        <w:pStyle w:val="bullets"/>
        <w:rPr>
          <w:lang w:val="en-US"/>
        </w:rPr>
      </w:pPr>
      <w:r w:rsidRPr="00F928CF">
        <w:rPr>
          <w:lang w:val="en-US"/>
        </w:rPr>
        <w:t>characters</w:t>
      </w:r>
    </w:p>
    <w:p w:rsidR="0032717C" w:rsidRPr="00F928CF" w:rsidRDefault="0032717C" w:rsidP="0032717C">
      <w:pPr>
        <w:pStyle w:val="bullets"/>
        <w:rPr>
          <w:lang w:val="en-US"/>
        </w:rPr>
      </w:pPr>
      <w:r w:rsidRPr="00F928CF">
        <w:rPr>
          <w:lang w:val="en-US"/>
        </w:rPr>
        <w:t>narrative</w:t>
      </w:r>
    </w:p>
    <w:p w:rsidR="0032717C" w:rsidRPr="00F928CF" w:rsidRDefault="0032717C" w:rsidP="0032717C">
      <w:pPr>
        <w:pStyle w:val="bullets"/>
        <w:rPr>
          <w:lang w:val="en-US"/>
        </w:rPr>
      </w:pPr>
      <w:r w:rsidRPr="00F928CF">
        <w:rPr>
          <w:lang w:val="en-US"/>
        </w:rPr>
        <w:t>storyline</w:t>
      </w:r>
    </w:p>
    <w:p w:rsidR="0032717C" w:rsidRDefault="0032717C" w:rsidP="0032717C">
      <w:pPr>
        <w:pStyle w:val="bullets"/>
        <w:spacing w:after="240"/>
        <w:rPr>
          <w:lang w:val="en-US"/>
        </w:rPr>
      </w:pPr>
      <w:r w:rsidRPr="00F928CF">
        <w:rPr>
          <w:lang w:val="en-US"/>
        </w:rPr>
        <w:t>representations of events, issues, people, places.</w:t>
      </w:r>
    </w:p>
    <w:p w:rsidR="0032717C" w:rsidRPr="00F928CF" w:rsidRDefault="0032717C" w:rsidP="0032717C">
      <w:pPr>
        <w:pStyle w:val="bullets"/>
        <w:numPr>
          <w:ilvl w:val="0"/>
          <w:numId w:val="0"/>
        </w:numPr>
        <w:spacing w:after="240"/>
        <w:ind w:left="1134"/>
        <w:rPr>
          <w:lang w:val="en-US"/>
        </w:rPr>
      </w:pPr>
    </w:p>
    <w:p w:rsidR="0032717C" w:rsidRPr="00F928CF" w:rsidRDefault="0032717C" w:rsidP="0032717C">
      <w:pPr>
        <w:numPr>
          <w:ilvl w:val="0"/>
          <w:numId w:val="2"/>
        </w:numPr>
        <w:spacing w:after="120" w:line="276" w:lineRule="auto"/>
        <w:ind w:left="567" w:hanging="567"/>
        <w:rPr>
          <w:lang w:val="en-US"/>
        </w:rPr>
      </w:pPr>
      <w:r w:rsidRPr="00F928CF">
        <w:rPr>
          <w:lang w:val="en-US"/>
        </w:rPr>
        <w:t>In column 3, write down the meaning offered as a result of applying the academic idea to the case study product.</w:t>
      </w:r>
    </w:p>
    <w:p w:rsidR="0032717C" w:rsidRPr="00F928CF" w:rsidRDefault="0032717C" w:rsidP="0032717C">
      <w:pPr>
        <w:pStyle w:val="bullets"/>
        <w:rPr>
          <w:lang w:val="en-US"/>
        </w:rPr>
      </w:pPr>
      <w:r w:rsidRPr="00F928CF">
        <w:rPr>
          <w:lang w:val="en-US"/>
        </w:rPr>
        <w:t>What does the theory help us to understand about the product?</w:t>
      </w:r>
    </w:p>
    <w:p w:rsidR="0032717C" w:rsidRPr="00F928CF" w:rsidRDefault="0032717C" w:rsidP="0032717C">
      <w:pPr>
        <w:pStyle w:val="bullets"/>
        <w:rPr>
          <w:lang w:val="en-US"/>
        </w:rPr>
      </w:pPr>
      <w:r w:rsidRPr="00F928CF">
        <w:rPr>
          <w:lang w:val="en-US"/>
        </w:rPr>
        <w:t>What does the product help us to understand about the theory?</w:t>
      </w:r>
    </w:p>
    <w:p w:rsidR="0032717C" w:rsidRPr="00F928CF" w:rsidRDefault="0032717C" w:rsidP="0032717C">
      <w:pPr>
        <w:pStyle w:val="bullets"/>
        <w:rPr>
          <w:lang w:val="en-US"/>
        </w:rPr>
      </w:pPr>
      <w:r w:rsidRPr="00F928CF">
        <w:rPr>
          <w:lang w:val="en-US"/>
        </w:rPr>
        <w:t>how can the examples in the product help to ‘support’ the theory?</w:t>
      </w:r>
    </w:p>
    <w:p w:rsidR="0032717C" w:rsidRDefault="0032717C" w:rsidP="0032717C">
      <w:pPr>
        <w:pStyle w:val="bullets"/>
        <w:rPr>
          <w:lang w:val="en-US"/>
        </w:rPr>
      </w:pPr>
      <w:r w:rsidRPr="00F928CF">
        <w:rPr>
          <w:lang w:val="en-US"/>
        </w:rPr>
        <w:t>How can the examples in the product ‘challenge’ and question the theory?</w:t>
      </w:r>
    </w:p>
    <w:p w:rsidR="00E6625A" w:rsidRDefault="00E6625A" w:rsidP="00E6625A">
      <w:pPr>
        <w:pStyle w:val="bullets"/>
        <w:numPr>
          <w:ilvl w:val="0"/>
          <w:numId w:val="0"/>
        </w:numPr>
        <w:ind w:left="567"/>
        <w:rPr>
          <w:lang w:val="en-US"/>
        </w:rPr>
      </w:pPr>
    </w:p>
    <w:p w:rsidR="00E6625A" w:rsidRDefault="00E6625A" w:rsidP="00E6625A">
      <w:pPr>
        <w:pStyle w:val="bullets"/>
        <w:numPr>
          <w:ilvl w:val="0"/>
          <w:numId w:val="0"/>
        </w:numPr>
        <w:ind w:left="1134" w:hanging="567"/>
        <w:rPr>
          <w:lang w:val="en-US"/>
        </w:rPr>
      </w:pPr>
      <w:proofErr w:type="spellStart"/>
      <w:r>
        <w:rPr>
          <w:lang w:val="en-US"/>
        </w:rPr>
        <w:t>Summarise</w:t>
      </w:r>
      <w:proofErr w:type="spellEnd"/>
      <w:r>
        <w:rPr>
          <w:lang w:val="en-US"/>
        </w:rPr>
        <w:t xml:space="preserve"> each theory in a simple and creative, but memorable phrase or sentence:</w:t>
      </w:r>
    </w:p>
    <w:p w:rsidR="00713957" w:rsidRPr="00F928CF" w:rsidRDefault="00713957" w:rsidP="00E6625A">
      <w:pPr>
        <w:pStyle w:val="bullets"/>
        <w:numPr>
          <w:ilvl w:val="0"/>
          <w:numId w:val="0"/>
        </w:numPr>
        <w:ind w:left="1134" w:hanging="567"/>
        <w:rPr>
          <w:lang w:val="en-US"/>
        </w:rPr>
      </w:pPr>
      <w:bookmarkStart w:id="0" w:name="_GoBack"/>
      <w:bookmarkEnd w:id="0"/>
    </w:p>
    <w:tbl>
      <w:tblPr>
        <w:tblStyle w:val="TableGrid"/>
        <w:tblW w:w="0" w:type="auto"/>
        <w:tblLook w:val="04A0" w:firstRow="1" w:lastRow="0" w:firstColumn="1" w:lastColumn="0" w:noHBand="0" w:noVBand="1"/>
      </w:tblPr>
      <w:tblGrid>
        <w:gridCol w:w="10456"/>
      </w:tblGrid>
      <w:tr w:rsidR="00E6625A" w:rsidTr="00E6625A">
        <w:tc>
          <w:tcPr>
            <w:tcW w:w="10456" w:type="dxa"/>
          </w:tcPr>
          <w:p w:rsidR="00E6625A" w:rsidRDefault="00E6625A">
            <w:pPr>
              <w:rPr>
                <w:b/>
                <w:sz w:val="16"/>
              </w:rPr>
            </w:pPr>
            <w:r>
              <w:rPr>
                <w:b/>
                <w:sz w:val="16"/>
              </w:rPr>
              <w:t>Bandura Media Effects</w:t>
            </w:r>
          </w:p>
          <w:p w:rsidR="00E6625A" w:rsidRPr="00E6625A" w:rsidRDefault="00E6625A">
            <w:pPr>
              <w:rPr>
                <w:b/>
                <w:sz w:val="16"/>
              </w:rPr>
            </w:pPr>
          </w:p>
          <w:p w:rsidR="00E6625A" w:rsidRPr="00E6625A" w:rsidRDefault="00E6625A">
            <w:pPr>
              <w:rPr>
                <w:b/>
                <w:sz w:val="16"/>
              </w:rPr>
            </w:pPr>
          </w:p>
          <w:p w:rsidR="00E6625A" w:rsidRPr="00E6625A" w:rsidRDefault="00E6625A">
            <w:pPr>
              <w:rPr>
                <w:b/>
                <w:sz w:val="16"/>
              </w:rPr>
            </w:pPr>
          </w:p>
        </w:tc>
      </w:tr>
      <w:tr w:rsidR="00E6625A" w:rsidTr="00E6625A">
        <w:tc>
          <w:tcPr>
            <w:tcW w:w="10456" w:type="dxa"/>
          </w:tcPr>
          <w:p w:rsidR="00E6625A" w:rsidRDefault="00E6625A">
            <w:pPr>
              <w:rPr>
                <w:b/>
                <w:sz w:val="16"/>
              </w:rPr>
            </w:pPr>
            <w:proofErr w:type="spellStart"/>
            <w:r>
              <w:rPr>
                <w:b/>
                <w:sz w:val="16"/>
              </w:rPr>
              <w:t>Gerbner</w:t>
            </w:r>
            <w:proofErr w:type="spellEnd"/>
            <w:r>
              <w:rPr>
                <w:b/>
                <w:sz w:val="16"/>
              </w:rPr>
              <w:t xml:space="preserve"> Cultivation Theory</w:t>
            </w:r>
          </w:p>
          <w:p w:rsidR="00E6625A" w:rsidRPr="00E6625A" w:rsidRDefault="00E6625A">
            <w:pPr>
              <w:rPr>
                <w:b/>
                <w:sz w:val="16"/>
              </w:rPr>
            </w:pPr>
          </w:p>
          <w:p w:rsidR="00E6625A" w:rsidRPr="00E6625A" w:rsidRDefault="00E6625A">
            <w:pPr>
              <w:rPr>
                <w:b/>
                <w:sz w:val="16"/>
              </w:rPr>
            </w:pPr>
          </w:p>
          <w:p w:rsidR="00E6625A" w:rsidRPr="00E6625A" w:rsidRDefault="00E6625A">
            <w:pPr>
              <w:rPr>
                <w:b/>
                <w:sz w:val="16"/>
              </w:rPr>
            </w:pPr>
          </w:p>
        </w:tc>
      </w:tr>
      <w:tr w:rsidR="00E6625A" w:rsidTr="00E6625A">
        <w:tc>
          <w:tcPr>
            <w:tcW w:w="10456" w:type="dxa"/>
          </w:tcPr>
          <w:p w:rsidR="00E6625A" w:rsidRDefault="00E6625A">
            <w:pPr>
              <w:rPr>
                <w:b/>
                <w:sz w:val="16"/>
              </w:rPr>
            </w:pPr>
            <w:r>
              <w:rPr>
                <w:b/>
                <w:sz w:val="16"/>
              </w:rPr>
              <w:t>Hall Reception Theory</w:t>
            </w:r>
          </w:p>
          <w:p w:rsidR="00E6625A" w:rsidRPr="00E6625A" w:rsidRDefault="00E6625A">
            <w:pPr>
              <w:rPr>
                <w:b/>
                <w:sz w:val="16"/>
              </w:rPr>
            </w:pPr>
          </w:p>
          <w:p w:rsidR="00E6625A" w:rsidRPr="00E6625A" w:rsidRDefault="00E6625A">
            <w:pPr>
              <w:rPr>
                <w:b/>
                <w:sz w:val="16"/>
              </w:rPr>
            </w:pPr>
          </w:p>
          <w:p w:rsidR="00E6625A" w:rsidRPr="00E6625A" w:rsidRDefault="00E6625A">
            <w:pPr>
              <w:rPr>
                <w:b/>
                <w:sz w:val="16"/>
              </w:rPr>
            </w:pPr>
          </w:p>
        </w:tc>
      </w:tr>
      <w:tr w:rsidR="00E6625A" w:rsidTr="00E6625A">
        <w:tc>
          <w:tcPr>
            <w:tcW w:w="10456" w:type="dxa"/>
          </w:tcPr>
          <w:p w:rsidR="00E6625A" w:rsidRDefault="00E6625A">
            <w:pPr>
              <w:rPr>
                <w:b/>
                <w:sz w:val="16"/>
              </w:rPr>
            </w:pPr>
            <w:r>
              <w:rPr>
                <w:b/>
                <w:sz w:val="16"/>
              </w:rPr>
              <w:t>Jenkins Fandom Theory</w:t>
            </w:r>
          </w:p>
          <w:p w:rsidR="00E6625A" w:rsidRPr="00E6625A" w:rsidRDefault="00E6625A">
            <w:pPr>
              <w:rPr>
                <w:b/>
                <w:sz w:val="16"/>
              </w:rPr>
            </w:pPr>
          </w:p>
          <w:p w:rsidR="00E6625A" w:rsidRPr="00E6625A" w:rsidRDefault="00E6625A">
            <w:pPr>
              <w:rPr>
                <w:b/>
                <w:sz w:val="16"/>
              </w:rPr>
            </w:pPr>
          </w:p>
          <w:p w:rsidR="00E6625A" w:rsidRPr="00E6625A" w:rsidRDefault="00E6625A">
            <w:pPr>
              <w:rPr>
                <w:b/>
                <w:sz w:val="16"/>
              </w:rPr>
            </w:pPr>
          </w:p>
        </w:tc>
      </w:tr>
      <w:tr w:rsidR="00E6625A" w:rsidTr="00E6625A">
        <w:tc>
          <w:tcPr>
            <w:tcW w:w="10456" w:type="dxa"/>
          </w:tcPr>
          <w:p w:rsidR="00E6625A" w:rsidRDefault="00E6625A">
            <w:pPr>
              <w:rPr>
                <w:b/>
                <w:sz w:val="16"/>
              </w:rPr>
            </w:pPr>
            <w:proofErr w:type="spellStart"/>
            <w:r>
              <w:rPr>
                <w:b/>
                <w:sz w:val="16"/>
              </w:rPr>
              <w:t>Shirky</w:t>
            </w:r>
            <w:proofErr w:type="spellEnd"/>
            <w:r>
              <w:rPr>
                <w:b/>
                <w:sz w:val="16"/>
              </w:rPr>
              <w:t xml:space="preserve"> End of Audience Theory</w:t>
            </w:r>
          </w:p>
          <w:p w:rsidR="00E6625A" w:rsidRPr="00E6625A" w:rsidRDefault="00E6625A">
            <w:pPr>
              <w:rPr>
                <w:b/>
                <w:sz w:val="16"/>
              </w:rPr>
            </w:pPr>
          </w:p>
          <w:p w:rsidR="00E6625A" w:rsidRPr="00E6625A" w:rsidRDefault="00E6625A">
            <w:pPr>
              <w:rPr>
                <w:b/>
                <w:sz w:val="16"/>
              </w:rPr>
            </w:pPr>
          </w:p>
          <w:p w:rsidR="00E6625A" w:rsidRPr="00E6625A" w:rsidRDefault="00E6625A">
            <w:pPr>
              <w:rPr>
                <w:b/>
                <w:sz w:val="16"/>
              </w:rPr>
            </w:pPr>
          </w:p>
        </w:tc>
      </w:tr>
    </w:tbl>
    <w:p w:rsidR="008052A9" w:rsidRDefault="0032717C">
      <w:r>
        <w:br w:type="page"/>
      </w:r>
    </w:p>
    <w:tbl>
      <w:tblPr>
        <w:tblStyle w:val="TableGrid10"/>
        <w:tblW w:w="0" w:type="auto"/>
        <w:tblBorders>
          <w:top w:val="single" w:sz="4" w:space="0" w:color="2C6350"/>
          <w:left w:val="single" w:sz="4" w:space="0" w:color="2C6350"/>
          <w:bottom w:val="single" w:sz="4" w:space="0" w:color="2C6350"/>
          <w:right w:val="single" w:sz="4" w:space="0" w:color="2C6350"/>
          <w:insideH w:val="single" w:sz="4" w:space="0" w:color="2C6350"/>
          <w:insideV w:val="single" w:sz="4" w:space="0" w:color="2C6350"/>
        </w:tblBorders>
        <w:tblLook w:val="04A0" w:firstRow="1" w:lastRow="0" w:firstColumn="1" w:lastColumn="0" w:noHBand="0" w:noVBand="1"/>
      </w:tblPr>
      <w:tblGrid>
        <w:gridCol w:w="2406"/>
        <w:gridCol w:w="3329"/>
        <w:gridCol w:w="3893"/>
      </w:tblGrid>
      <w:tr w:rsidR="008052A9" w:rsidRPr="00F928CF" w:rsidTr="00425443">
        <w:trPr>
          <w:tblHeader/>
        </w:trPr>
        <w:tc>
          <w:tcPr>
            <w:tcW w:w="2406" w:type="dxa"/>
            <w:tcBorders>
              <w:bottom w:val="single" w:sz="4" w:space="0" w:color="2C6350"/>
            </w:tcBorders>
            <w:shd w:val="clear" w:color="auto" w:fill="D4ECE3"/>
            <w:vAlign w:val="center"/>
          </w:tcPr>
          <w:p w:rsidR="008052A9" w:rsidRPr="00F928CF" w:rsidRDefault="008052A9" w:rsidP="00425443">
            <w:pPr>
              <w:pStyle w:val="Tabletext"/>
              <w:rPr>
                <w:rFonts w:cs="Arial"/>
                <w:b/>
              </w:rPr>
            </w:pPr>
            <w:r w:rsidRPr="00F928CF">
              <w:rPr>
                <w:rFonts w:cs="Arial"/>
                <w:b/>
              </w:rPr>
              <w:lastRenderedPageBreak/>
              <w:t>Set product</w:t>
            </w:r>
          </w:p>
        </w:tc>
        <w:tc>
          <w:tcPr>
            <w:tcW w:w="3329" w:type="dxa"/>
            <w:tcBorders>
              <w:bottom w:val="single" w:sz="4" w:space="0" w:color="2C6350"/>
            </w:tcBorders>
            <w:shd w:val="clear" w:color="auto" w:fill="D4ECE3"/>
            <w:vAlign w:val="center"/>
          </w:tcPr>
          <w:p w:rsidR="008052A9" w:rsidRPr="00F928CF" w:rsidRDefault="008052A9" w:rsidP="00425443">
            <w:pPr>
              <w:pStyle w:val="Tabletext"/>
              <w:rPr>
                <w:rFonts w:cs="Arial"/>
                <w:b/>
              </w:rPr>
            </w:pPr>
            <w:r w:rsidRPr="00F928CF">
              <w:rPr>
                <w:rFonts w:cs="Arial"/>
                <w:b/>
              </w:rPr>
              <w:t>Examples from episode 1 of the set product the idea can be applied to</w:t>
            </w:r>
          </w:p>
        </w:tc>
        <w:tc>
          <w:tcPr>
            <w:tcW w:w="3893" w:type="dxa"/>
            <w:tcBorders>
              <w:bottom w:val="single" w:sz="4" w:space="0" w:color="2C6350"/>
            </w:tcBorders>
            <w:shd w:val="clear" w:color="auto" w:fill="D4ECE3"/>
            <w:vAlign w:val="center"/>
          </w:tcPr>
          <w:p w:rsidR="008052A9" w:rsidRPr="00F928CF" w:rsidRDefault="008052A9" w:rsidP="00425443">
            <w:pPr>
              <w:pStyle w:val="Tabletext"/>
              <w:rPr>
                <w:rFonts w:cs="Arial"/>
                <w:b/>
              </w:rPr>
            </w:pPr>
            <w:r w:rsidRPr="00F928CF">
              <w:rPr>
                <w:rFonts w:cs="Arial"/>
                <w:b/>
              </w:rPr>
              <w:t>What meaning can the idea and examples offer – what does it tell us?</w:t>
            </w:r>
          </w:p>
        </w:tc>
      </w:tr>
      <w:tr w:rsidR="008052A9" w:rsidRPr="00F928CF" w:rsidTr="00425443">
        <w:trPr>
          <w:trHeight w:val="551"/>
          <w:tblHeader/>
        </w:trPr>
        <w:tc>
          <w:tcPr>
            <w:tcW w:w="9628" w:type="dxa"/>
            <w:gridSpan w:val="3"/>
            <w:shd w:val="clear" w:color="auto" w:fill="auto"/>
          </w:tcPr>
          <w:p w:rsidR="008052A9" w:rsidRPr="00F928CF" w:rsidRDefault="006E0A71" w:rsidP="006E0A71">
            <w:pPr>
              <w:pStyle w:val="Tabletext"/>
              <w:rPr>
                <w:rFonts w:cs="Arial"/>
                <w:color w:val="FF6600"/>
              </w:rPr>
            </w:pPr>
            <w:r>
              <w:rPr>
                <w:rFonts w:cs="Arial"/>
              </w:rPr>
              <w:t xml:space="preserve">Bandura maintains that the media can directly influence people’s values, judgements and conduct through media modelling. For example, media representations of aggressive or violent behavior can lead to imitation. He argues that television communicates in one direction, and that the audience are passive. </w:t>
            </w:r>
            <w:r w:rsidR="008052A9" w:rsidRPr="00F73E63">
              <w:rPr>
                <w:rFonts w:cs="Arial"/>
                <w:b/>
              </w:rPr>
              <w:t>(</w:t>
            </w:r>
            <w:r w:rsidR="008052A9">
              <w:rPr>
                <w:rFonts w:cs="Arial"/>
                <w:b/>
              </w:rPr>
              <w:t>Bandura</w:t>
            </w:r>
            <w:r w:rsidR="008052A9" w:rsidRPr="00F73E63">
              <w:rPr>
                <w:rFonts w:cs="Arial"/>
                <w:b/>
              </w:rPr>
              <w:t xml:space="preserve">) – </w:t>
            </w:r>
            <w:r w:rsidR="008052A9">
              <w:rPr>
                <w:rFonts w:cs="Arial"/>
                <w:b/>
                <w:i/>
              </w:rPr>
              <w:t>Media Effects</w:t>
            </w:r>
          </w:p>
        </w:tc>
      </w:tr>
      <w:tr w:rsidR="008052A9" w:rsidRPr="00F928CF" w:rsidTr="00425443">
        <w:trPr>
          <w:tblHeader/>
        </w:trPr>
        <w:tc>
          <w:tcPr>
            <w:tcW w:w="2406" w:type="dxa"/>
          </w:tcPr>
          <w:p w:rsidR="008052A9" w:rsidRPr="00F928CF" w:rsidRDefault="008052A9" w:rsidP="00425443">
            <w:pPr>
              <w:pStyle w:val="Tabletext"/>
              <w:rPr>
                <w:rFonts w:cs="Arial"/>
                <w:b/>
              </w:rPr>
            </w:pPr>
            <w:r w:rsidRPr="00F928CF">
              <w:rPr>
                <w:rFonts w:cs="Arial"/>
                <w:b/>
              </w:rPr>
              <w:t>Set product 1</w:t>
            </w:r>
          </w:p>
        </w:tc>
        <w:tc>
          <w:tcPr>
            <w:tcW w:w="3329" w:type="dxa"/>
          </w:tcPr>
          <w:p w:rsidR="008052A9" w:rsidRPr="00F928CF" w:rsidRDefault="008052A9" w:rsidP="00425443">
            <w:pPr>
              <w:pStyle w:val="Tabletext"/>
              <w:rPr>
                <w:rFonts w:cs="Arial"/>
              </w:rPr>
            </w:pPr>
          </w:p>
          <w:p w:rsidR="008052A9" w:rsidRPr="00F928CF" w:rsidRDefault="008052A9" w:rsidP="00425443">
            <w:pPr>
              <w:pStyle w:val="Tabletext"/>
              <w:rPr>
                <w:rFonts w:cs="Arial"/>
              </w:rPr>
            </w:pPr>
          </w:p>
          <w:p w:rsidR="008052A9" w:rsidRPr="00F928CF" w:rsidRDefault="008052A9" w:rsidP="00425443">
            <w:pPr>
              <w:pStyle w:val="Tabletext"/>
              <w:rPr>
                <w:rFonts w:cs="Arial"/>
              </w:rPr>
            </w:pPr>
          </w:p>
          <w:p w:rsidR="008052A9" w:rsidRPr="00F928CF" w:rsidRDefault="008052A9" w:rsidP="00425443">
            <w:pPr>
              <w:pStyle w:val="Tabletext"/>
              <w:rPr>
                <w:rFonts w:cs="Arial"/>
              </w:rPr>
            </w:pPr>
          </w:p>
          <w:p w:rsidR="008052A9" w:rsidRPr="00F928CF" w:rsidRDefault="008052A9" w:rsidP="00425443">
            <w:pPr>
              <w:pStyle w:val="Tabletext"/>
              <w:rPr>
                <w:rFonts w:cs="Arial"/>
              </w:rPr>
            </w:pPr>
          </w:p>
          <w:p w:rsidR="008052A9" w:rsidRPr="00F928CF" w:rsidRDefault="008052A9" w:rsidP="00425443">
            <w:pPr>
              <w:pStyle w:val="Tabletext"/>
              <w:rPr>
                <w:rFonts w:cs="Arial"/>
              </w:rPr>
            </w:pPr>
          </w:p>
          <w:p w:rsidR="008052A9" w:rsidRPr="00F928CF" w:rsidRDefault="008052A9" w:rsidP="00425443">
            <w:pPr>
              <w:pStyle w:val="Tabletext"/>
              <w:rPr>
                <w:rFonts w:cs="Arial"/>
              </w:rPr>
            </w:pPr>
          </w:p>
          <w:p w:rsidR="008052A9" w:rsidRPr="00F928CF" w:rsidRDefault="008052A9" w:rsidP="00425443">
            <w:pPr>
              <w:pStyle w:val="Tabletext"/>
              <w:rPr>
                <w:rFonts w:cs="Arial"/>
              </w:rPr>
            </w:pPr>
          </w:p>
          <w:p w:rsidR="008052A9" w:rsidRPr="00F928CF" w:rsidRDefault="008052A9" w:rsidP="00425443">
            <w:pPr>
              <w:pStyle w:val="Tabletext"/>
              <w:rPr>
                <w:rFonts w:cs="Arial"/>
              </w:rPr>
            </w:pPr>
          </w:p>
          <w:p w:rsidR="008052A9" w:rsidRPr="00F928CF" w:rsidRDefault="008052A9" w:rsidP="00425443">
            <w:pPr>
              <w:pStyle w:val="Tabletext"/>
              <w:rPr>
                <w:rFonts w:cs="Arial"/>
              </w:rPr>
            </w:pPr>
          </w:p>
          <w:p w:rsidR="008052A9" w:rsidRPr="00F928CF" w:rsidRDefault="008052A9" w:rsidP="00425443">
            <w:pPr>
              <w:pStyle w:val="Tabletext"/>
              <w:rPr>
                <w:rFonts w:cs="Arial"/>
              </w:rPr>
            </w:pPr>
          </w:p>
          <w:p w:rsidR="008052A9" w:rsidRPr="00F928CF" w:rsidRDefault="008052A9" w:rsidP="00425443">
            <w:pPr>
              <w:pStyle w:val="Tabletext"/>
              <w:rPr>
                <w:rFonts w:cs="Arial"/>
              </w:rPr>
            </w:pPr>
          </w:p>
          <w:p w:rsidR="008052A9" w:rsidRPr="00F928CF" w:rsidRDefault="008052A9" w:rsidP="00425443">
            <w:pPr>
              <w:pStyle w:val="Tabletext"/>
              <w:rPr>
                <w:rFonts w:cs="Arial"/>
              </w:rPr>
            </w:pPr>
          </w:p>
          <w:p w:rsidR="008052A9" w:rsidRPr="00F928CF" w:rsidRDefault="008052A9" w:rsidP="00425443">
            <w:pPr>
              <w:pStyle w:val="Tabletext"/>
              <w:rPr>
                <w:rFonts w:cs="Arial"/>
              </w:rPr>
            </w:pPr>
          </w:p>
          <w:p w:rsidR="008052A9" w:rsidRPr="00F928CF" w:rsidRDefault="008052A9" w:rsidP="00425443">
            <w:pPr>
              <w:pStyle w:val="Tabletext"/>
              <w:rPr>
                <w:rFonts w:cs="Arial"/>
              </w:rPr>
            </w:pPr>
          </w:p>
          <w:p w:rsidR="008052A9" w:rsidRPr="00F928CF" w:rsidRDefault="008052A9" w:rsidP="00425443">
            <w:pPr>
              <w:pStyle w:val="Tabletext"/>
              <w:rPr>
                <w:rFonts w:cs="Arial"/>
              </w:rPr>
            </w:pPr>
          </w:p>
          <w:p w:rsidR="008052A9" w:rsidRPr="00F928CF" w:rsidRDefault="008052A9" w:rsidP="00425443">
            <w:pPr>
              <w:pStyle w:val="Tabletext"/>
              <w:rPr>
                <w:rFonts w:cs="Arial"/>
              </w:rPr>
            </w:pPr>
          </w:p>
        </w:tc>
        <w:tc>
          <w:tcPr>
            <w:tcW w:w="3893" w:type="dxa"/>
          </w:tcPr>
          <w:p w:rsidR="008052A9" w:rsidRPr="00F928CF" w:rsidRDefault="008052A9" w:rsidP="00425443">
            <w:pPr>
              <w:pStyle w:val="Tabletext"/>
              <w:rPr>
                <w:rFonts w:cs="Arial"/>
              </w:rPr>
            </w:pPr>
          </w:p>
        </w:tc>
      </w:tr>
      <w:tr w:rsidR="008052A9" w:rsidRPr="00F928CF" w:rsidTr="00425443">
        <w:trPr>
          <w:tblHeader/>
        </w:trPr>
        <w:tc>
          <w:tcPr>
            <w:tcW w:w="2406" w:type="dxa"/>
            <w:tcBorders>
              <w:bottom w:val="single" w:sz="4" w:space="0" w:color="2C6350"/>
            </w:tcBorders>
          </w:tcPr>
          <w:p w:rsidR="008052A9" w:rsidRPr="00F928CF" w:rsidRDefault="008052A9" w:rsidP="00425443">
            <w:pPr>
              <w:pStyle w:val="Tabletext"/>
              <w:rPr>
                <w:rFonts w:cs="Arial"/>
                <w:b/>
              </w:rPr>
            </w:pPr>
            <w:r w:rsidRPr="00F928CF">
              <w:rPr>
                <w:rFonts w:cs="Arial"/>
                <w:b/>
              </w:rPr>
              <w:t>Set product 2</w:t>
            </w:r>
          </w:p>
        </w:tc>
        <w:tc>
          <w:tcPr>
            <w:tcW w:w="3329" w:type="dxa"/>
            <w:tcBorders>
              <w:bottom w:val="single" w:sz="4" w:space="0" w:color="2C6350"/>
            </w:tcBorders>
          </w:tcPr>
          <w:p w:rsidR="008052A9" w:rsidRPr="00F928CF" w:rsidRDefault="008052A9" w:rsidP="00425443">
            <w:pPr>
              <w:pStyle w:val="Tabletext"/>
              <w:rPr>
                <w:rFonts w:cs="Arial"/>
              </w:rPr>
            </w:pPr>
          </w:p>
          <w:p w:rsidR="008052A9" w:rsidRPr="00F928CF" w:rsidRDefault="008052A9" w:rsidP="00425443">
            <w:pPr>
              <w:pStyle w:val="Tabletext"/>
              <w:rPr>
                <w:rFonts w:cs="Arial"/>
              </w:rPr>
            </w:pPr>
          </w:p>
          <w:p w:rsidR="008052A9" w:rsidRPr="00F928CF" w:rsidRDefault="008052A9" w:rsidP="00425443">
            <w:pPr>
              <w:pStyle w:val="Tabletext"/>
              <w:rPr>
                <w:rFonts w:cs="Arial"/>
              </w:rPr>
            </w:pPr>
          </w:p>
          <w:p w:rsidR="008052A9" w:rsidRPr="00F928CF" w:rsidRDefault="008052A9" w:rsidP="00425443">
            <w:pPr>
              <w:pStyle w:val="Tabletext"/>
              <w:rPr>
                <w:rFonts w:cs="Arial"/>
              </w:rPr>
            </w:pPr>
          </w:p>
          <w:p w:rsidR="008052A9" w:rsidRPr="00F928CF" w:rsidRDefault="008052A9" w:rsidP="00425443">
            <w:pPr>
              <w:pStyle w:val="Tabletext"/>
              <w:rPr>
                <w:rFonts w:cs="Arial"/>
              </w:rPr>
            </w:pPr>
          </w:p>
          <w:p w:rsidR="008052A9" w:rsidRPr="00F928CF" w:rsidRDefault="008052A9" w:rsidP="00425443">
            <w:pPr>
              <w:pStyle w:val="Tabletext"/>
              <w:rPr>
                <w:rFonts w:cs="Arial"/>
              </w:rPr>
            </w:pPr>
          </w:p>
          <w:p w:rsidR="008052A9" w:rsidRPr="00F928CF" w:rsidRDefault="008052A9" w:rsidP="00425443">
            <w:pPr>
              <w:pStyle w:val="Tabletext"/>
              <w:rPr>
                <w:rFonts w:cs="Arial"/>
              </w:rPr>
            </w:pPr>
          </w:p>
          <w:p w:rsidR="008052A9" w:rsidRPr="00F928CF" w:rsidRDefault="008052A9" w:rsidP="00425443">
            <w:pPr>
              <w:pStyle w:val="Tabletext"/>
              <w:rPr>
                <w:rFonts w:cs="Arial"/>
              </w:rPr>
            </w:pPr>
          </w:p>
          <w:p w:rsidR="008052A9" w:rsidRPr="00F928CF" w:rsidRDefault="008052A9" w:rsidP="00425443">
            <w:pPr>
              <w:pStyle w:val="Tabletext"/>
              <w:rPr>
                <w:rFonts w:cs="Arial"/>
              </w:rPr>
            </w:pPr>
          </w:p>
          <w:p w:rsidR="008052A9" w:rsidRPr="00F928CF" w:rsidRDefault="008052A9" w:rsidP="00425443">
            <w:pPr>
              <w:pStyle w:val="Tabletext"/>
              <w:rPr>
                <w:rFonts w:cs="Arial"/>
              </w:rPr>
            </w:pPr>
          </w:p>
          <w:p w:rsidR="008052A9" w:rsidRPr="00F928CF" w:rsidRDefault="008052A9" w:rsidP="00425443">
            <w:pPr>
              <w:pStyle w:val="Tabletext"/>
              <w:rPr>
                <w:rFonts w:cs="Arial"/>
              </w:rPr>
            </w:pPr>
          </w:p>
          <w:p w:rsidR="008052A9" w:rsidRPr="00F928CF" w:rsidRDefault="008052A9" w:rsidP="00425443">
            <w:pPr>
              <w:pStyle w:val="Tabletext"/>
              <w:rPr>
                <w:rFonts w:cs="Arial"/>
              </w:rPr>
            </w:pPr>
          </w:p>
          <w:p w:rsidR="008052A9" w:rsidRPr="00F928CF" w:rsidRDefault="008052A9" w:rsidP="00425443">
            <w:pPr>
              <w:pStyle w:val="Tabletext"/>
              <w:rPr>
                <w:rFonts w:cs="Arial"/>
              </w:rPr>
            </w:pPr>
          </w:p>
          <w:p w:rsidR="008052A9" w:rsidRPr="00F928CF" w:rsidRDefault="008052A9" w:rsidP="00425443">
            <w:pPr>
              <w:pStyle w:val="Tabletext"/>
              <w:rPr>
                <w:rFonts w:cs="Arial"/>
              </w:rPr>
            </w:pPr>
          </w:p>
          <w:p w:rsidR="008052A9" w:rsidRPr="00F928CF" w:rsidRDefault="008052A9" w:rsidP="00425443">
            <w:pPr>
              <w:pStyle w:val="Tabletext"/>
              <w:rPr>
                <w:rFonts w:cs="Arial"/>
              </w:rPr>
            </w:pPr>
          </w:p>
          <w:p w:rsidR="008052A9" w:rsidRPr="00F928CF" w:rsidRDefault="008052A9" w:rsidP="00425443">
            <w:pPr>
              <w:pStyle w:val="Tabletext"/>
              <w:rPr>
                <w:rFonts w:cs="Arial"/>
              </w:rPr>
            </w:pPr>
          </w:p>
        </w:tc>
        <w:tc>
          <w:tcPr>
            <w:tcW w:w="3893" w:type="dxa"/>
            <w:tcBorders>
              <w:bottom w:val="single" w:sz="4" w:space="0" w:color="2C6350"/>
            </w:tcBorders>
          </w:tcPr>
          <w:p w:rsidR="008052A9" w:rsidRPr="00F928CF" w:rsidRDefault="008052A9" w:rsidP="00425443">
            <w:pPr>
              <w:pStyle w:val="Tabletext"/>
              <w:rPr>
                <w:rFonts w:cs="Arial"/>
              </w:rPr>
            </w:pPr>
          </w:p>
        </w:tc>
      </w:tr>
    </w:tbl>
    <w:p w:rsidR="008052A9" w:rsidRDefault="008052A9"/>
    <w:tbl>
      <w:tblPr>
        <w:tblStyle w:val="TableGrid10"/>
        <w:tblW w:w="0" w:type="auto"/>
        <w:tblBorders>
          <w:top w:val="single" w:sz="4" w:space="0" w:color="2C6350"/>
          <w:left w:val="single" w:sz="4" w:space="0" w:color="2C6350"/>
          <w:bottom w:val="single" w:sz="4" w:space="0" w:color="2C6350"/>
          <w:right w:val="single" w:sz="4" w:space="0" w:color="2C6350"/>
          <w:insideH w:val="single" w:sz="4" w:space="0" w:color="2C6350"/>
          <w:insideV w:val="single" w:sz="4" w:space="0" w:color="2C6350"/>
        </w:tblBorders>
        <w:tblLook w:val="04A0" w:firstRow="1" w:lastRow="0" w:firstColumn="1" w:lastColumn="0" w:noHBand="0" w:noVBand="1"/>
      </w:tblPr>
      <w:tblGrid>
        <w:gridCol w:w="2406"/>
        <w:gridCol w:w="3329"/>
        <w:gridCol w:w="3893"/>
      </w:tblGrid>
      <w:tr w:rsidR="008052A9" w:rsidRPr="00F928CF" w:rsidTr="00425443">
        <w:trPr>
          <w:tblHeader/>
        </w:trPr>
        <w:tc>
          <w:tcPr>
            <w:tcW w:w="2406" w:type="dxa"/>
            <w:tcBorders>
              <w:bottom w:val="single" w:sz="4" w:space="0" w:color="2C6350"/>
            </w:tcBorders>
            <w:shd w:val="clear" w:color="auto" w:fill="D4ECE3"/>
            <w:vAlign w:val="center"/>
          </w:tcPr>
          <w:p w:rsidR="008052A9" w:rsidRPr="00F928CF" w:rsidRDefault="008052A9" w:rsidP="00425443">
            <w:pPr>
              <w:pStyle w:val="Tabletext"/>
              <w:rPr>
                <w:rFonts w:cs="Arial"/>
                <w:b/>
              </w:rPr>
            </w:pPr>
            <w:r w:rsidRPr="00F928CF">
              <w:rPr>
                <w:rFonts w:cs="Arial"/>
                <w:b/>
              </w:rPr>
              <w:t>Set product</w:t>
            </w:r>
          </w:p>
        </w:tc>
        <w:tc>
          <w:tcPr>
            <w:tcW w:w="3329" w:type="dxa"/>
            <w:tcBorders>
              <w:bottom w:val="single" w:sz="4" w:space="0" w:color="2C6350"/>
            </w:tcBorders>
            <w:shd w:val="clear" w:color="auto" w:fill="D4ECE3"/>
            <w:vAlign w:val="center"/>
          </w:tcPr>
          <w:p w:rsidR="008052A9" w:rsidRPr="00F928CF" w:rsidRDefault="008052A9" w:rsidP="00425443">
            <w:pPr>
              <w:pStyle w:val="Tabletext"/>
              <w:rPr>
                <w:rFonts w:cs="Arial"/>
                <w:b/>
              </w:rPr>
            </w:pPr>
            <w:r w:rsidRPr="00F928CF">
              <w:rPr>
                <w:rFonts w:cs="Arial"/>
                <w:b/>
              </w:rPr>
              <w:t>Examples from episode 1 of the set product the idea can be applied to</w:t>
            </w:r>
          </w:p>
        </w:tc>
        <w:tc>
          <w:tcPr>
            <w:tcW w:w="3893" w:type="dxa"/>
            <w:tcBorders>
              <w:bottom w:val="single" w:sz="4" w:space="0" w:color="2C6350"/>
            </w:tcBorders>
            <w:shd w:val="clear" w:color="auto" w:fill="D4ECE3"/>
            <w:vAlign w:val="center"/>
          </w:tcPr>
          <w:p w:rsidR="008052A9" w:rsidRPr="00F928CF" w:rsidRDefault="008052A9" w:rsidP="00425443">
            <w:pPr>
              <w:pStyle w:val="Tabletext"/>
              <w:rPr>
                <w:rFonts w:cs="Arial"/>
                <w:b/>
              </w:rPr>
            </w:pPr>
            <w:r w:rsidRPr="00F928CF">
              <w:rPr>
                <w:rFonts w:cs="Arial"/>
                <w:b/>
              </w:rPr>
              <w:t>What meaning can the idea and examples offer – what does it tell us?</w:t>
            </w:r>
          </w:p>
        </w:tc>
      </w:tr>
      <w:tr w:rsidR="008052A9" w:rsidRPr="00F928CF" w:rsidTr="00425443">
        <w:trPr>
          <w:trHeight w:val="551"/>
          <w:tblHeader/>
        </w:trPr>
        <w:tc>
          <w:tcPr>
            <w:tcW w:w="9628" w:type="dxa"/>
            <w:gridSpan w:val="3"/>
            <w:shd w:val="clear" w:color="auto" w:fill="auto"/>
          </w:tcPr>
          <w:p w:rsidR="008052A9" w:rsidRPr="00F928CF" w:rsidRDefault="006E0A71" w:rsidP="008052A9">
            <w:pPr>
              <w:pStyle w:val="Tabletext"/>
              <w:rPr>
                <w:rFonts w:cs="Arial"/>
                <w:color w:val="FF6600"/>
              </w:rPr>
            </w:pPr>
            <w:proofErr w:type="spellStart"/>
            <w:r>
              <w:rPr>
                <w:rFonts w:cs="Arial"/>
              </w:rPr>
              <w:t>Gerbner</w:t>
            </w:r>
            <w:proofErr w:type="spellEnd"/>
            <w:r>
              <w:rPr>
                <w:rFonts w:cs="Arial"/>
              </w:rPr>
              <w:t xml:space="preserve"> argues</w:t>
            </w:r>
            <w:r>
              <w:rPr>
                <w:rFonts w:cs="Arial"/>
                <w:b/>
              </w:rPr>
              <w:t xml:space="preserve"> </w:t>
            </w:r>
            <w:r>
              <w:rPr>
                <w:rFonts w:cs="Arial"/>
              </w:rPr>
              <w:t xml:space="preserve">that exposure to television over long periods of time cultivates </w:t>
            </w:r>
            <w:proofErr w:type="spellStart"/>
            <w:r>
              <w:rPr>
                <w:rFonts w:cs="Arial"/>
              </w:rPr>
              <w:t>standardised</w:t>
            </w:r>
            <w:proofErr w:type="spellEnd"/>
            <w:r>
              <w:rPr>
                <w:rFonts w:cs="Arial"/>
              </w:rPr>
              <w:t xml:space="preserve"> roles and </w:t>
            </w:r>
            <w:proofErr w:type="spellStart"/>
            <w:r>
              <w:rPr>
                <w:rFonts w:cs="Arial"/>
              </w:rPr>
              <w:t>behaviours</w:t>
            </w:r>
            <w:proofErr w:type="spellEnd"/>
            <w:r>
              <w:rPr>
                <w:rFonts w:cs="Arial"/>
              </w:rPr>
              <w:t xml:space="preserve"> in the audience. Heavy users of media are more likely to develop ‘mean world syndrome’ (cynical and mistrusting attitudes towards the world) and/or a common mainstream outlook on the world.</w:t>
            </w:r>
            <w:r w:rsidR="00EA79E9">
              <w:rPr>
                <w:rFonts w:cs="Arial"/>
              </w:rPr>
              <w:t xml:space="preserve"> This process is slow, and not sudden or immediate.</w:t>
            </w:r>
            <w:r>
              <w:rPr>
                <w:rFonts w:cs="Arial"/>
              </w:rPr>
              <w:t xml:space="preserve"> </w:t>
            </w:r>
            <w:r w:rsidR="008052A9" w:rsidRPr="00F73E63">
              <w:rPr>
                <w:rFonts w:cs="Arial"/>
                <w:b/>
              </w:rPr>
              <w:t xml:space="preserve"> (</w:t>
            </w:r>
            <w:proofErr w:type="spellStart"/>
            <w:r w:rsidR="008052A9">
              <w:rPr>
                <w:rFonts w:cs="Arial"/>
                <w:b/>
              </w:rPr>
              <w:t>Gerbner</w:t>
            </w:r>
            <w:proofErr w:type="spellEnd"/>
            <w:r w:rsidR="008052A9" w:rsidRPr="00F73E63">
              <w:rPr>
                <w:rFonts w:cs="Arial"/>
                <w:b/>
              </w:rPr>
              <w:t xml:space="preserve">) – </w:t>
            </w:r>
            <w:r w:rsidR="008052A9">
              <w:rPr>
                <w:rFonts w:cs="Arial"/>
                <w:b/>
                <w:i/>
              </w:rPr>
              <w:t>Cultivation Theory</w:t>
            </w:r>
          </w:p>
        </w:tc>
      </w:tr>
      <w:tr w:rsidR="008052A9" w:rsidRPr="00F928CF" w:rsidTr="00425443">
        <w:trPr>
          <w:tblHeader/>
        </w:trPr>
        <w:tc>
          <w:tcPr>
            <w:tcW w:w="2406" w:type="dxa"/>
          </w:tcPr>
          <w:p w:rsidR="008052A9" w:rsidRPr="00F928CF" w:rsidRDefault="008052A9" w:rsidP="00425443">
            <w:pPr>
              <w:pStyle w:val="Tabletext"/>
              <w:rPr>
                <w:rFonts w:cs="Arial"/>
                <w:b/>
              </w:rPr>
            </w:pPr>
            <w:r w:rsidRPr="00F928CF">
              <w:rPr>
                <w:rFonts w:cs="Arial"/>
                <w:b/>
              </w:rPr>
              <w:t>Set product 1</w:t>
            </w:r>
          </w:p>
        </w:tc>
        <w:tc>
          <w:tcPr>
            <w:tcW w:w="3329" w:type="dxa"/>
          </w:tcPr>
          <w:p w:rsidR="008052A9" w:rsidRPr="00F928CF" w:rsidRDefault="008052A9" w:rsidP="00425443">
            <w:pPr>
              <w:pStyle w:val="Tabletext"/>
              <w:rPr>
                <w:rFonts w:cs="Arial"/>
              </w:rPr>
            </w:pPr>
          </w:p>
          <w:p w:rsidR="008052A9" w:rsidRPr="00F928CF" w:rsidRDefault="008052A9" w:rsidP="00425443">
            <w:pPr>
              <w:pStyle w:val="Tabletext"/>
              <w:rPr>
                <w:rFonts w:cs="Arial"/>
              </w:rPr>
            </w:pPr>
          </w:p>
          <w:p w:rsidR="008052A9" w:rsidRPr="00F928CF" w:rsidRDefault="008052A9" w:rsidP="00425443">
            <w:pPr>
              <w:pStyle w:val="Tabletext"/>
              <w:rPr>
                <w:rFonts w:cs="Arial"/>
              </w:rPr>
            </w:pPr>
          </w:p>
          <w:p w:rsidR="008052A9" w:rsidRPr="00F928CF" w:rsidRDefault="008052A9" w:rsidP="00425443">
            <w:pPr>
              <w:pStyle w:val="Tabletext"/>
              <w:rPr>
                <w:rFonts w:cs="Arial"/>
              </w:rPr>
            </w:pPr>
          </w:p>
          <w:p w:rsidR="008052A9" w:rsidRPr="00F928CF" w:rsidRDefault="008052A9" w:rsidP="00425443">
            <w:pPr>
              <w:pStyle w:val="Tabletext"/>
              <w:rPr>
                <w:rFonts w:cs="Arial"/>
              </w:rPr>
            </w:pPr>
          </w:p>
          <w:p w:rsidR="008052A9" w:rsidRPr="00F928CF" w:rsidRDefault="008052A9" w:rsidP="00425443">
            <w:pPr>
              <w:pStyle w:val="Tabletext"/>
              <w:rPr>
                <w:rFonts w:cs="Arial"/>
              </w:rPr>
            </w:pPr>
          </w:p>
          <w:p w:rsidR="008052A9" w:rsidRPr="00F928CF" w:rsidRDefault="008052A9" w:rsidP="00425443">
            <w:pPr>
              <w:pStyle w:val="Tabletext"/>
              <w:rPr>
                <w:rFonts w:cs="Arial"/>
              </w:rPr>
            </w:pPr>
          </w:p>
          <w:p w:rsidR="008052A9" w:rsidRPr="00F928CF" w:rsidRDefault="008052A9" w:rsidP="00425443">
            <w:pPr>
              <w:pStyle w:val="Tabletext"/>
              <w:rPr>
                <w:rFonts w:cs="Arial"/>
              </w:rPr>
            </w:pPr>
          </w:p>
          <w:p w:rsidR="008052A9" w:rsidRPr="00F928CF" w:rsidRDefault="008052A9" w:rsidP="00425443">
            <w:pPr>
              <w:pStyle w:val="Tabletext"/>
              <w:rPr>
                <w:rFonts w:cs="Arial"/>
              </w:rPr>
            </w:pPr>
          </w:p>
          <w:p w:rsidR="008052A9" w:rsidRPr="00F928CF" w:rsidRDefault="008052A9" w:rsidP="00425443">
            <w:pPr>
              <w:pStyle w:val="Tabletext"/>
              <w:rPr>
                <w:rFonts w:cs="Arial"/>
              </w:rPr>
            </w:pPr>
          </w:p>
          <w:p w:rsidR="008052A9" w:rsidRPr="00F928CF" w:rsidRDefault="008052A9" w:rsidP="00425443">
            <w:pPr>
              <w:pStyle w:val="Tabletext"/>
              <w:rPr>
                <w:rFonts w:cs="Arial"/>
              </w:rPr>
            </w:pPr>
          </w:p>
          <w:p w:rsidR="008052A9" w:rsidRPr="00F928CF" w:rsidRDefault="008052A9" w:rsidP="00425443">
            <w:pPr>
              <w:pStyle w:val="Tabletext"/>
              <w:rPr>
                <w:rFonts w:cs="Arial"/>
              </w:rPr>
            </w:pPr>
          </w:p>
          <w:p w:rsidR="008052A9" w:rsidRPr="00F928CF" w:rsidRDefault="008052A9" w:rsidP="00425443">
            <w:pPr>
              <w:pStyle w:val="Tabletext"/>
              <w:rPr>
                <w:rFonts w:cs="Arial"/>
              </w:rPr>
            </w:pPr>
          </w:p>
          <w:p w:rsidR="008052A9" w:rsidRPr="00F928CF" w:rsidRDefault="008052A9" w:rsidP="00425443">
            <w:pPr>
              <w:pStyle w:val="Tabletext"/>
              <w:rPr>
                <w:rFonts w:cs="Arial"/>
              </w:rPr>
            </w:pPr>
          </w:p>
          <w:p w:rsidR="008052A9" w:rsidRPr="00F928CF" w:rsidRDefault="008052A9" w:rsidP="00425443">
            <w:pPr>
              <w:pStyle w:val="Tabletext"/>
              <w:rPr>
                <w:rFonts w:cs="Arial"/>
              </w:rPr>
            </w:pPr>
          </w:p>
          <w:p w:rsidR="008052A9" w:rsidRPr="00F928CF" w:rsidRDefault="008052A9" w:rsidP="00425443">
            <w:pPr>
              <w:pStyle w:val="Tabletext"/>
              <w:rPr>
                <w:rFonts w:cs="Arial"/>
              </w:rPr>
            </w:pPr>
          </w:p>
          <w:p w:rsidR="008052A9" w:rsidRPr="00F928CF" w:rsidRDefault="008052A9" w:rsidP="00425443">
            <w:pPr>
              <w:pStyle w:val="Tabletext"/>
              <w:rPr>
                <w:rFonts w:cs="Arial"/>
              </w:rPr>
            </w:pPr>
          </w:p>
        </w:tc>
        <w:tc>
          <w:tcPr>
            <w:tcW w:w="3893" w:type="dxa"/>
          </w:tcPr>
          <w:p w:rsidR="008052A9" w:rsidRPr="00F928CF" w:rsidRDefault="008052A9" w:rsidP="00425443">
            <w:pPr>
              <w:pStyle w:val="Tabletext"/>
              <w:rPr>
                <w:rFonts w:cs="Arial"/>
              </w:rPr>
            </w:pPr>
          </w:p>
        </w:tc>
      </w:tr>
      <w:tr w:rsidR="008052A9" w:rsidRPr="00F928CF" w:rsidTr="00425443">
        <w:trPr>
          <w:tblHeader/>
        </w:trPr>
        <w:tc>
          <w:tcPr>
            <w:tcW w:w="2406" w:type="dxa"/>
            <w:tcBorders>
              <w:bottom w:val="single" w:sz="4" w:space="0" w:color="2C6350"/>
            </w:tcBorders>
          </w:tcPr>
          <w:p w:rsidR="008052A9" w:rsidRPr="00F928CF" w:rsidRDefault="008052A9" w:rsidP="00425443">
            <w:pPr>
              <w:pStyle w:val="Tabletext"/>
              <w:rPr>
                <w:rFonts w:cs="Arial"/>
                <w:b/>
              </w:rPr>
            </w:pPr>
            <w:r w:rsidRPr="00F928CF">
              <w:rPr>
                <w:rFonts w:cs="Arial"/>
                <w:b/>
              </w:rPr>
              <w:t>Set product 2</w:t>
            </w:r>
          </w:p>
        </w:tc>
        <w:tc>
          <w:tcPr>
            <w:tcW w:w="3329" w:type="dxa"/>
            <w:tcBorders>
              <w:bottom w:val="single" w:sz="4" w:space="0" w:color="2C6350"/>
            </w:tcBorders>
          </w:tcPr>
          <w:p w:rsidR="008052A9" w:rsidRPr="00F928CF" w:rsidRDefault="008052A9" w:rsidP="00425443">
            <w:pPr>
              <w:pStyle w:val="Tabletext"/>
              <w:rPr>
                <w:rFonts w:cs="Arial"/>
              </w:rPr>
            </w:pPr>
          </w:p>
          <w:p w:rsidR="008052A9" w:rsidRPr="00F928CF" w:rsidRDefault="008052A9" w:rsidP="00425443">
            <w:pPr>
              <w:pStyle w:val="Tabletext"/>
              <w:rPr>
                <w:rFonts w:cs="Arial"/>
              </w:rPr>
            </w:pPr>
          </w:p>
          <w:p w:rsidR="008052A9" w:rsidRPr="00F928CF" w:rsidRDefault="008052A9" w:rsidP="00425443">
            <w:pPr>
              <w:pStyle w:val="Tabletext"/>
              <w:rPr>
                <w:rFonts w:cs="Arial"/>
              </w:rPr>
            </w:pPr>
          </w:p>
          <w:p w:rsidR="008052A9" w:rsidRPr="00F928CF" w:rsidRDefault="008052A9" w:rsidP="00425443">
            <w:pPr>
              <w:pStyle w:val="Tabletext"/>
              <w:rPr>
                <w:rFonts w:cs="Arial"/>
              </w:rPr>
            </w:pPr>
          </w:p>
          <w:p w:rsidR="008052A9" w:rsidRPr="00F928CF" w:rsidRDefault="008052A9" w:rsidP="00425443">
            <w:pPr>
              <w:pStyle w:val="Tabletext"/>
              <w:rPr>
                <w:rFonts w:cs="Arial"/>
              </w:rPr>
            </w:pPr>
          </w:p>
          <w:p w:rsidR="008052A9" w:rsidRPr="00F928CF" w:rsidRDefault="008052A9" w:rsidP="00425443">
            <w:pPr>
              <w:pStyle w:val="Tabletext"/>
              <w:rPr>
                <w:rFonts w:cs="Arial"/>
              </w:rPr>
            </w:pPr>
          </w:p>
          <w:p w:rsidR="008052A9" w:rsidRPr="00F928CF" w:rsidRDefault="008052A9" w:rsidP="00425443">
            <w:pPr>
              <w:pStyle w:val="Tabletext"/>
              <w:rPr>
                <w:rFonts w:cs="Arial"/>
              </w:rPr>
            </w:pPr>
          </w:p>
          <w:p w:rsidR="008052A9" w:rsidRPr="00F928CF" w:rsidRDefault="008052A9" w:rsidP="00425443">
            <w:pPr>
              <w:pStyle w:val="Tabletext"/>
              <w:rPr>
                <w:rFonts w:cs="Arial"/>
              </w:rPr>
            </w:pPr>
          </w:p>
          <w:p w:rsidR="008052A9" w:rsidRPr="00F928CF" w:rsidRDefault="008052A9" w:rsidP="00425443">
            <w:pPr>
              <w:pStyle w:val="Tabletext"/>
              <w:rPr>
                <w:rFonts w:cs="Arial"/>
              </w:rPr>
            </w:pPr>
          </w:p>
          <w:p w:rsidR="008052A9" w:rsidRPr="00F928CF" w:rsidRDefault="008052A9" w:rsidP="00425443">
            <w:pPr>
              <w:pStyle w:val="Tabletext"/>
              <w:rPr>
                <w:rFonts w:cs="Arial"/>
              </w:rPr>
            </w:pPr>
          </w:p>
          <w:p w:rsidR="008052A9" w:rsidRPr="00F928CF" w:rsidRDefault="008052A9" w:rsidP="00425443">
            <w:pPr>
              <w:pStyle w:val="Tabletext"/>
              <w:rPr>
                <w:rFonts w:cs="Arial"/>
              </w:rPr>
            </w:pPr>
          </w:p>
          <w:p w:rsidR="008052A9" w:rsidRPr="00F928CF" w:rsidRDefault="008052A9" w:rsidP="00425443">
            <w:pPr>
              <w:pStyle w:val="Tabletext"/>
              <w:rPr>
                <w:rFonts w:cs="Arial"/>
              </w:rPr>
            </w:pPr>
          </w:p>
          <w:p w:rsidR="008052A9" w:rsidRPr="00F928CF" w:rsidRDefault="008052A9" w:rsidP="00425443">
            <w:pPr>
              <w:pStyle w:val="Tabletext"/>
              <w:rPr>
                <w:rFonts w:cs="Arial"/>
              </w:rPr>
            </w:pPr>
          </w:p>
          <w:p w:rsidR="008052A9" w:rsidRPr="00F928CF" w:rsidRDefault="008052A9" w:rsidP="00425443">
            <w:pPr>
              <w:pStyle w:val="Tabletext"/>
              <w:rPr>
                <w:rFonts w:cs="Arial"/>
              </w:rPr>
            </w:pPr>
          </w:p>
          <w:p w:rsidR="008052A9" w:rsidRPr="00F928CF" w:rsidRDefault="008052A9" w:rsidP="00425443">
            <w:pPr>
              <w:pStyle w:val="Tabletext"/>
              <w:rPr>
                <w:rFonts w:cs="Arial"/>
              </w:rPr>
            </w:pPr>
          </w:p>
          <w:p w:rsidR="008052A9" w:rsidRPr="00F928CF" w:rsidRDefault="008052A9" w:rsidP="00425443">
            <w:pPr>
              <w:pStyle w:val="Tabletext"/>
              <w:rPr>
                <w:rFonts w:cs="Arial"/>
              </w:rPr>
            </w:pPr>
          </w:p>
        </w:tc>
        <w:tc>
          <w:tcPr>
            <w:tcW w:w="3893" w:type="dxa"/>
            <w:tcBorders>
              <w:bottom w:val="single" w:sz="4" w:space="0" w:color="2C6350"/>
            </w:tcBorders>
          </w:tcPr>
          <w:p w:rsidR="008052A9" w:rsidRPr="00F928CF" w:rsidRDefault="008052A9" w:rsidP="00425443">
            <w:pPr>
              <w:pStyle w:val="Tabletext"/>
              <w:rPr>
                <w:rFonts w:cs="Arial"/>
              </w:rPr>
            </w:pPr>
          </w:p>
        </w:tc>
      </w:tr>
    </w:tbl>
    <w:p w:rsidR="008052A9" w:rsidRDefault="008052A9">
      <w:r>
        <w:br w:type="page"/>
      </w:r>
    </w:p>
    <w:tbl>
      <w:tblPr>
        <w:tblStyle w:val="TableGrid10"/>
        <w:tblW w:w="0" w:type="auto"/>
        <w:tblBorders>
          <w:top w:val="single" w:sz="4" w:space="0" w:color="2C6350"/>
          <w:left w:val="single" w:sz="4" w:space="0" w:color="2C6350"/>
          <w:bottom w:val="single" w:sz="4" w:space="0" w:color="2C6350"/>
          <w:right w:val="single" w:sz="4" w:space="0" w:color="2C6350"/>
          <w:insideH w:val="single" w:sz="4" w:space="0" w:color="2C6350"/>
          <w:insideV w:val="single" w:sz="4" w:space="0" w:color="2C6350"/>
        </w:tblBorders>
        <w:tblLook w:val="04A0" w:firstRow="1" w:lastRow="0" w:firstColumn="1" w:lastColumn="0" w:noHBand="0" w:noVBand="1"/>
      </w:tblPr>
      <w:tblGrid>
        <w:gridCol w:w="2406"/>
        <w:gridCol w:w="3329"/>
        <w:gridCol w:w="3893"/>
      </w:tblGrid>
      <w:tr w:rsidR="008052A9" w:rsidRPr="00F928CF" w:rsidTr="00425443">
        <w:trPr>
          <w:tblHeader/>
        </w:trPr>
        <w:tc>
          <w:tcPr>
            <w:tcW w:w="2406" w:type="dxa"/>
            <w:tcBorders>
              <w:bottom w:val="single" w:sz="4" w:space="0" w:color="2C6350"/>
            </w:tcBorders>
            <w:shd w:val="clear" w:color="auto" w:fill="D4ECE3"/>
            <w:vAlign w:val="center"/>
          </w:tcPr>
          <w:p w:rsidR="008052A9" w:rsidRPr="00F928CF" w:rsidRDefault="008052A9" w:rsidP="00425443">
            <w:pPr>
              <w:pStyle w:val="Tabletext"/>
              <w:rPr>
                <w:rFonts w:cs="Arial"/>
                <w:b/>
              </w:rPr>
            </w:pPr>
            <w:r w:rsidRPr="00F928CF">
              <w:rPr>
                <w:rFonts w:cs="Arial"/>
                <w:b/>
              </w:rPr>
              <w:t>Set product</w:t>
            </w:r>
          </w:p>
        </w:tc>
        <w:tc>
          <w:tcPr>
            <w:tcW w:w="3329" w:type="dxa"/>
            <w:tcBorders>
              <w:bottom w:val="single" w:sz="4" w:space="0" w:color="2C6350"/>
            </w:tcBorders>
            <w:shd w:val="clear" w:color="auto" w:fill="D4ECE3"/>
            <w:vAlign w:val="center"/>
          </w:tcPr>
          <w:p w:rsidR="008052A9" w:rsidRPr="00F928CF" w:rsidRDefault="008052A9" w:rsidP="00425443">
            <w:pPr>
              <w:pStyle w:val="Tabletext"/>
              <w:rPr>
                <w:rFonts w:cs="Arial"/>
                <w:b/>
              </w:rPr>
            </w:pPr>
            <w:r w:rsidRPr="00F928CF">
              <w:rPr>
                <w:rFonts w:cs="Arial"/>
                <w:b/>
              </w:rPr>
              <w:t>Examples from episode 1 of the set product the idea can be applied to</w:t>
            </w:r>
          </w:p>
        </w:tc>
        <w:tc>
          <w:tcPr>
            <w:tcW w:w="3893" w:type="dxa"/>
            <w:tcBorders>
              <w:bottom w:val="single" w:sz="4" w:space="0" w:color="2C6350"/>
            </w:tcBorders>
            <w:shd w:val="clear" w:color="auto" w:fill="D4ECE3"/>
            <w:vAlign w:val="center"/>
          </w:tcPr>
          <w:p w:rsidR="008052A9" w:rsidRPr="00F928CF" w:rsidRDefault="008052A9" w:rsidP="00425443">
            <w:pPr>
              <w:pStyle w:val="Tabletext"/>
              <w:rPr>
                <w:rFonts w:cs="Arial"/>
                <w:b/>
              </w:rPr>
            </w:pPr>
            <w:r w:rsidRPr="00F928CF">
              <w:rPr>
                <w:rFonts w:cs="Arial"/>
                <w:b/>
              </w:rPr>
              <w:t>What meaning can the idea and examples offer – what does it tell us?</w:t>
            </w:r>
          </w:p>
        </w:tc>
      </w:tr>
      <w:tr w:rsidR="008052A9" w:rsidRPr="00F928CF" w:rsidTr="00425443">
        <w:trPr>
          <w:trHeight w:val="551"/>
          <w:tblHeader/>
        </w:trPr>
        <w:tc>
          <w:tcPr>
            <w:tcW w:w="9628" w:type="dxa"/>
            <w:gridSpan w:val="3"/>
            <w:shd w:val="clear" w:color="auto" w:fill="auto"/>
          </w:tcPr>
          <w:p w:rsidR="008052A9" w:rsidRPr="00F928CF" w:rsidRDefault="00CA23EE" w:rsidP="008052A9">
            <w:pPr>
              <w:pStyle w:val="Tabletext"/>
              <w:rPr>
                <w:rFonts w:cs="Arial"/>
                <w:color w:val="FF6600"/>
              </w:rPr>
            </w:pPr>
            <w:r>
              <w:rPr>
                <w:rFonts w:cs="Arial"/>
              </w:rPr>
              <w:t>Hall’s ‘encoding-decoding’ model argues that media producers encode ‘preferred meanings’ into texts. These meanings will (usually) be those that fit the dominant ideologies – the set of basic assumptions, values and beliefs held in common and embedded in society. The three responses to the encoded messages are ‘preferred’, ‘negotiated’ and ‘oppositional’.</w:t>
            </w:r>
            <w:r w:rsidR="008052A9" w:rsidRPr="00F73E63">
              <w:rPr>
                <w:rFonts w:cs="Arial"/>
                <w:b/>
              </w:rPr>
              <w:t xml:space="preserve"> (</w:t>
            </w:r>
            <w:r w:rsidR="008052A9">
              <w:rPr>
                <w:rFonts w:cs="Arial"/>
                <w:b/>
              </w:rPr>
              <w:t>Hall</w:t>
            </w:r>
            <w:r w:rsidR="008052A9" w:rsidRPr="00F73E63">
              <w:rPr>
                <w:rFonts w:cs="Arial"/>
                <w:b/>
              </w:rPr>
              <w:t xml:space="preserve">) – </w:t>
            </w:r>
            <w:r w:rsidR="008052A9">
              <w:rPr>
                <w:rFonts w:cs="Arial"/>
                <w:b/>
                <w:i/>
              </w:rPr>
              <w:t>Reception Theory</w:t>
            </w:r>
          </w:p>
        </w:tc>
      </w:tr>
      <w:tr w:rsidR="008052A9" w:rsidRPr="00F928CF" w:rsidTr="00425443">
        <w:trPr>
          <w:tblHeader/>
        </w:trPr>
        <w:tc>
          <w:tcPr>
            <w:tcW w:w="2406" w:type="dxa"/>
          </w:tcPr>
          <w:p w:rsidR="008052A9" w:rsidRPr="00F928CF" w:rsidRDefault="008052A9" w:rsidP="00425443">
            <w:pPr>
              <w:pStyle w:val="Tabletext"/>
              <w:rPr>
                <w:rFonts w:cs="Arial"/>
                <w:b/>
              </w:rPr>
            </w:pPr>
            <w:r w:rsidRPr="00F928CF">
              <w:rPr>
                <w:rFonts w:cs="Arial"/>
                <w:b/>
              </w:rPr>
              <w:t>Set product 1</w:t>
            </w:r>
          </w:p>
        </w:tc>
        <w:tc>
          <w:tcPr>
            <w:tcW w:w="3329" w:type="dxa"/>
          </w:tcPr>
          <w:p w:rsidR="008052A9" w:rsidRPr="00F928CF" w:rsidRDefault="008052A9" w:rsidP="00425443">
            <w:pPr>
              <w:pStyle w:val="Tabletext"/>
              <w:rPr>
                <w:rFonts w:cs="Arial"/>
              </w:rPr>
            </w:pPr>
          </w:p>
          <w:p w:rsidR="008052A9" w:rsidRPr="00F928CF" w:rsidRDefault="008052A9" w:rsidP="00425443">
            <w:pPr>
              <w:pStyle w:val="Tabletext"/>
              <w:rPr>
                <w:rFonts w:cs="Arial"/>
              </w:rPr>
            </w:pPr>
          </w:p>
          <w:p w:rsidR="008052A9" w:rsidRPr="00F928CF" w:rsidRDefault="008052A9" w:rsidP="00425443">
            <w:pPr>
              <w:pStyle w:val="Tabletext"/>
              <w:rPr>
                <w:rFonts w:cs="Arial"/>
              </w:rPr>
            </w:pPr>
          </w:p>
          <w:p w:rsidR="008052A9" w:rsidRPr="00F928CF" w:rsidRDefault="008052A9" w:rsidP="00425443">
            <w:pPr>
              <w:pStyle w:val="Tabletext"/>
              <w:rPr>
                <w:rFonts w:cs="Arial"/>
              </w:rPr>
            </w:pPr>
          </w:p>
          <w:p w:rsidR="008052A9" w:rsidRPr="00F928CF" w:rsidRDefault="008052A9" w:rsidP="00425443">
            <w:pPr>
              <w:pStyle w:val="Tabletext"/>
              <w:rPr>
                <w:rFonts w:cs="Arial"/>
              </w:rPr>
            </w:pPr>
          </w:p>
          <w:p w:rsidR="008052A9" w:rsidRPr="00F928CF" w:rsidRDefault="008052A9" w:rsidP="00425443">
            <w:pPr>
              <w:pStyle w:val="Tabletext"/>
              <w:rPr>
                <w:rFonts w:cs="Arial"/>
              </w:rPr>
            </w:pPr>
          </w:p>
          <w:p w:rsidR="008052A9" w:rsidRPr="00F928CF" w:rsidRDefault="008052A9" w:rsidP="00425443">
            <w:pPr>
              <w:pStyle w:val="Tabletext"/>
              <w:rPr>
                <w:rFonts w:cs="Arial"/>
              </w:rPr>
            </w:pPr>
          </w:p>
          <w:p w:rsidR="008052A9" w:rsidRPr="00F928CF" w:rsidRDefault="008052A9" w:rsidP="00425443">
            <w:pPr>
              <w:pStyle w:val="Tabletext"/>
              <w:rPr>
                <w:rFonts w:cs="Arial"/>
              </w:rPr>
            </w:pPr>
          </w:p>
          <w:p w:rsidR="008052A9" w:rsidRPr="00F928CF" w:rsidRDefault="008052A9" w:rsidP="00425443">
            <w:pPr>
              <w:pStyle w:val="Tabletext"/>
              <w:rPr>
                <w:rFonts w:cs="Arial"/>
              </w:rPr>
            </w:pPr>
          </w:p>
          <w:p w:rsidR="008052A9" w:rsidRPr="00F928CF" w:rsidRDefault="008052A9" w:rsidP="00425443">
            <w:pPr>
              <w:pStyle w:val="Tabletext"/>
              <w:rPr>
                <w:rFonts w:cs="Arial"/>
              </w:rPr>
            </w:pPr>
          </w:p>
          <w:p w:rsidR="008052A9" w:rsidRPr="00F928CF" w:rsidRDefault="008052A9" w:rsidP="00425443">
            <w:pPr>
              <w:pStyle w:val="Tabletext"/>
              <w:rPr>
                <w:rFonts w:cs="Arial"/>
              </w:rPr>
            </w:pPr>
          </w:p>
          <w:p w:rsidR="008052A9" w:rsidRPr="00F928CF" w:rsidRDefault="008052A9" w:rsidP="00425443">
            <w:pPr>
              <w:pStyle w:val="Tabletext"/>
              <w:rPr>
                <w:rFonts w:cs="Arial"/>
              </w:rPr>
            </w:pPr>
          </w:p>
          <w:p w:rsidR="008052A9" w:rsidRPr="00F928CF" w:rsidRDefault="008052A9" w:rsidP="00425443">
            <w:pPr>
              <w:pStyle w:val="Tabletext"/>
              <w:rPr>
                <w:rFonts w:cs="Arial"/>
              </w:rPr>
            </w:pPr>
          </w:p>
          <w:p w:rsidR="008052A9" w:rsidRPr="00F928CF" w:rsidRDefault="008052A9" w:rsidP="00425443">
            <w:pPr>
              <w:pStyle w:val="Tabletext"/>
              <w:rPr>
                <w:rFonts w:cs="Arial"/>
              </w:rPr>
            </w:pPr>
          </w:p>
          <w:p w:rsidR="008052A9" w:rsidRPr="00F928CF" w:rsidRDefault="008052A9" w:rsidP="00425443">
            <w:pPr>
              <w:pStyle w:val="Tabletext"/>
              <w:rPr>
                <w:rFonts w:cs="Arial"/>
              </w:rPr>
            </w:pPr>
          </w:p>
          <w:p w:rsidR="008052A9" w:rsidRPr="00F928CF" w:rsidRDefault="008052A9" w:rsidP="00425443">
            <w:pPr>
              <w:pStyle w:val="Tabletext"/>
              <w:rPr>
                <w:rFonts w:cs="Arial"/>
              </w:rPr>
            </w:pPr>
          </w:p>
          <w:p w:rsidR="008052A9" w:rsidRPr="00F928CF" w:rsidRDefault="008052A9" w:rsidP="00425443">
            <w:pPr>
              <w:pStyle w:val="Tabletext"/>
              <w:rPr>
                <w:rFonts w:cs="Arial"/>
              </w:rPr>
            </w:pPr>
          </w:p>
        </w:tc>
        <w:tc>
          <w:tcPr>
            <w:tcW w:w="3893" w:type="dxa"/>
          </w:tcPr>
          <w:p w:rsidR="008052A9" w:rsidRPr="00F928CF" w:rsidRDefault="008052A9" w:rsidP="00425443">
            <w:pPr>
              <w:pStyle w:val="Tabletext"/>
              <w:rPr>
                <w:rFonts w:cs="Arial"/>
              </w:rPr>
            </w:pPr>
          </w:p>
        </w:tc>
      </w:tr>
      <w:tr w:rsidR="008052A9" w:rsidRPr="00F928CF" w:rsidTr="00425443">
        <w:trPr>
          <w:tblHeader/>
        </w:trPr>
        <w:tc>
          <w:tcPr>
            <w:tcW w:w="2406" w:type="dxa"/>
            <w:tcBorders>
              <w:bottom w:val="single" w:sz="4" w:space="0" w:color="2C6350"/>
            </w:tcBorders>
          </w:tcPr>
          <w:p w:rsidR="008052A9" w:rsidRPr="00F928CF" w:rsidRDefault="008052A9" w:rsidP="00425443">
            <w:pPr>
              <w:pStyle w:val="Tabletext"/>
              <w:rPr>
                <w:rFonts w:cs="Arial"/>
                <w:b/>
              </w:rPr>
            </w:pPr>
            <w:r w:rsidRPr="00F928CF">
              <w:rPr>
                <w:rFonts w:cs="Arial"/>
                <w:b/>
              </w:rPr>
              <w:t>Set product 2</w:t>
            </w:r>
          </w:p>
        </w:tc>
        <w:tc>
          <w:tcPr>
            <w:tcW w:w="3329" w:type="dxa"/>
            <w:tcBorders>
              <w:bottom w:val="single" w:sz="4" w:space="0" w:color="2C6350"/>
            </w:tcBorders>
          </w:tcPr>
          <w:p w:rsidR="008052A9" w:rsidRPr="00F928CF" w:rsidRDefault="008052A9" w:rsidP="00425443">
            <w:pPr>
              <w:pStyle w:val="Tabletext"/>
              <w:rPr>
                <w:rFonts w:cs="Arial"/>
              </w:rPr>
            </w:pPr>
          </w:p>
          <w:p w:rsidR="008052A9" w:rsidRPr="00F928CF" w:rsidRDefault="008052A9" w:rsidP="00425443">
            <w:pPr>
              <w:pStyle w:val="Tabletext"/>
              <w:rPr>
                <w:rFonts w:cs="Arial"/>
              </w:rPr>
            </w:pPr>
          </w:p>
          <w:p w:rsidR="008052A9" w:rsidRPr="00F928CF" w:rsidRDefault="008052A9" w:rsidP="00425443">
            <w:pPr>
              <w:pStyle w:val="Tabletext"/>
              <w:rPr>
                <w:rFonts w:cs="Arial"/>
              </w:rPr>
            </w:pPr>
          </w:p>
          <w:p w:rsidR="008052A9" w:rsidRPr="00F928CF" w:rsidRDefault="008052A9" w:rsidP="00425443">
            <w:pPr>
              <w:pStyle w:val="Tabletext"/>
              <w:rPr>
                <w:rFonts w:cs="Arial"/>
              </w:rPr>
            </w:pPr>
          </w:p>
          <w:p w:rsidR="008052A9" w:rsidRPr="00F928CF" w:rsidRDefault="008052A9" w:rsidP="00425443">
            <w:pPr>
              <w:pStyle w:val="Tabletext"/>
              <w:rPr>
                <w:rFonts w:cs="Arial"/>
              </w:rPr>
            </w:pPr>
          </w:p>
          <w:p w:rsidR="008052A9" w:rsidRPr="00F928CF" w:rsidRDefault="008052A9" w:rsidP="00425443">
            <w:pPr>
              <w:pStyle w:val="Tabletext"/>
              <w:rPr>
                <w:rFonts w:cs="Arial"/>
              </w:rPr>
            </w:pPr>
          </w:p>
          <w:p w:rsidR="008052A9" w:rsidRPr="00F928CF" w:rsidRDefault="008052A9" w:rsidP="00425443">
            <w:pPr>
              <w:pStyle w:val="Tabletext"/>
              <w:rPr>
                <w:rFonts w:cs="Arial"/>
              </w:rPr>
            </w:pPr>
          </w:p>
          <w:p w:rsidR="008052A9" w:rsidRPr="00F928CF" w:rsidRDefault="008052A9" w:rsidP="00425443">
            <w:pPr>
              <w:pStyle w:val="Tabletext"/>
              <w:rPr>
                <w:rFonts w:cs="Arial"/>
              </w:rPr>
            </w:pPr>
          </w:p>
          <w:p w:rsidR="008052A9" w:rsidRPr="00F928CF" w:rsidRDefault="008052A9" w:rsidP="00425443">
            <w:pPr>
              <w:pStyle w:val="Tabletext"/>
              <w:rPr>
                <w:rFonts w:cs="Arial"/>
              </w:rPr>
            </w:pPr>
          </w:p>
          <w:p w:rsidR="008052A9" w:rsidRPr="00F928CF" w:rsidRDefault="008052A9" w:rsidP="00425443">
            <w:pPr>
              <w:pStyle w:val="Tabletext"/>
              <w:rPr>
                <w:rFonts w:cs="Arial"/>
              </w:rPr>
            </w:pPr>
          </w:p>
          <w:p w:rsidR="008052A9" w:rsidRPr="00F928CF" w:rsidRDefault="008052A9" w:rsidP="00425443">
            <w:pPr>
              <w:pStyle w:val="Tabletext"/>
              <w:rPr>
                <w:rFonts w:cs="Arial"/>
              </w:rPr>
            </w:pPr>
          </w:p>
          <w:p w:rsidR="008052A9" w:rsidRPr="00F928CF" w:rsidRDefault="008052A9" w:rsidP="00425443">
            <w:pPr>
              <w:pStyle w:val="Tabletext"/>
              <w:rPr>
                <w:rFonts w:cs="Arial"/>
              </w:rPr>
            </w:pPr>
          </w:p>
          <w:p w:rsidR="008052A9" w:rsidRPr="00F928CF" w:rsidRDefault="008052A9" w:rsidP="00425443">
            <w:pPr>
              <w:pStyle w:val="Tabletext"/>
              <w:rPr>
                <w:rFonts w:cs="Arial"/>
              </w:rPr>
            </w:pPr>
          </w:p>
          <w:p w:rsidR="008052A9" w:rsidRPr="00F928CF" w:rsidRDefault="008052A9" w:rsidP="00425443">
            <w:pPr>
              <w:pStyle w:val="Tabletext"/>
              <w:rPr>
                <w:rFonts w:cs="Arial"/>
              </w:rPr>
            </w:pPr>
          </w:p>
          <w:p w:rsidR="008052A9" w:rsidRPr="00F928CF" w:rsidRDefault="008052A9" w:rsidP="00425443">
            <w:pPr>
              <w:pStyle w:val="Tabletext"/>
              <w:rPr>
                <w:rFonts w:cs="Arial"/>
              </w:rPr>
            </w:pPr>
          </w:p>
          <w:p w:rsidR="008052A9" w:rsidRPr="00F928CF" w:rsidRDefault="008052A9" w:rsidP="00425443">
            <w:pPr>
              <w:pStyle w:val="Tabletext"/>
              <w:rPr>
                <w:rFonts w:cs="Arial"/>
              </w:rPr>
            </w:pPr>
          </w:p>
        </w:tc>
        <w:tc>
          <w:tcPr>
            <w:tcW w:w="3893" w:type="dxa"/>
            <w:tcBorders>
              <w:bottom w:val="single" w:sz="4" w:space="0" w:color="2C6350"/>
            </w:tcBorders>
          </w:tcPr>
          <w:p w:rsidR="008052A9" w:rsidRPr="00F928CF" w:rsidRDefault="008052A9" w:rsidP="00425443">
            <w:pPr>
              <w:pStyle w:val="Tabletext"/>
              <w:rPr>
                <w:rFonts w:cs="Arial"/>
              </w:rPr>
            </w:pPr>
          </w:p>
        </w:tc>
      </w:tr>
    </w:tbl>
    <w:p w:rsidR="008052A9" w:rsidRDefault="008052A9">
      <w:r>
        <w:br w:type="page"/>
      </w:r>
    </w:p>
    <w:tbl>
      <w:tblPr>
        <w:tblStyle w:val="TableGrid10"/>
        <w:tblW w:w="0" w:type="auto"/>
        <w:tblBorders>
          <w:top w:val="single" w:sz="4" w:space="0" w:color="2C6350"/>
          <w:left w:val="single" w:sz="4" w:space="0" w:color="2C6350"/>
          <w:bottom w:val="single" w:sz="4" w:space="0" w:color="2C6350"/>
          <w:right w:val="single" w:sz="4" w:space="0" w:color="2C6350"/>
          <w:insideH w:val="single" w:sz="4" w:space="0" w:color="2C6350"/>
          <w:insideV w:val="single" w:sz="4" w:space="0" w:color="2C6350"/>
        </w:tblBorders>
        <w:tblLook w:val="04A0" w:firstRow="1" w:lastRow="0" w:firstColumn="1" w:lastColumn="0" w:noHBand="0" w:noVBand="1"/>
      </w:tblPr>
      <w:tblGrid>
        <w:gridCol w:w="2406"/>
        <w:gridCol w:w="3329"/>
        <w:gridCol w:w="3893"/>
      </w:tblGrid>
      <w:tr w:rsidR="008052A9" w:rsidRPr="00F928CF" w:rsidTr="00425443">
        <w:trPr>
          <w:tblHeader/>
        </w:trPr>
        <w:tc>
          <w:tcPr>
            <w:tcW w:w="2406" w:type="dxa"/>
            <w:tcBorders>
              <w:bottom w:val="single" w:sz="4" w:space="0" w:color="2C6350"/>
            </w:tcBorders>
            <w:shd w:val="clear" w:color="auto" w:fill="D4ECE3"/>
            <w:vAlign w:val="center"/>
          </w:tcPr>
          <w:p w:rsidR="008052A9" w:rsidRPr="00F928CF" w:rsidRDefault="008052A9" w:rsidP="00425443">
            <w:pPr>
              <w:pStyle w:val="Tabletext"/>
              <w:rPr>
                <w:rFonts w:cs="Arial"/>
                <w:b/>
              </w:rPr>
            </w:pPr>
            <w:r w:rsidRPr="00F928CF">
              <w:rPr>
                <w:rFonts w:cs="Arial"/>
                <w:b/>
              </w:rPr>
              <w:t>Set product</w:t>
            </w:r>
          </w:p>
        </w:tc>
        <w:tc>
          <w:tcPr>
            <w:tcW w:w="3329" w:type="dxa"/>
            <w:tcBorders>
              <w:bottom w:val="single" w:sz="4" w:space="0" w:color="2C6350"/>
            </w:tcBorders>
            <w:shd w:val="clear" w:color="auto" w:fill="D4ECE3"/>
            <w:vAlign w:val="center"/>
          </w:tcPr>
          <w:p w:rsidR="008052A9" w:rsidRPr="00F928CF" w:rsidRDefault="008052A9" w:rsidP="00425443">
            <w:pPr>
              <w:pStyle w:val="Tabletext"/>
              <w:rPr>
                <w:rFonts w:cs="Arial"/>
                <w:b/>
              </w:rPr>
            </w:pPr>
            <w:r w:rsidRPr="00F928CF">
              <w:rPr>
                <w:rFonts w:cs="Arial"/>
                <w:b/>
              </w:rPr>
              <w:t>Examples from episode 1 of the set product the idea can be applied to</w:t>
            </w:r>
          </w:p>
        </w:tc>
        <w:tc>
          <w:tcPr>
            <w:tcW w:w="3893" w:type="dxa"/>
            <w:tcBorders>
              <w:bottom w:val="single" w:sz="4" w:space="0" w:color="2C6350"/>
            </w:tcBorders>
            <w:shd w:val="clear" w:color="auto" w:fill="D4ECE3"/>
            <w:vAlign w:val="center"/>
          </w:tcPr>
          <w:p w:rsidR="008052A9" w:rsidRPr="00F928CF" w:rsidRDefault="008052A9" w:rsidP="00425443">
            <w:pPr>
              <w:pStyle w:val="Tabletext"/>
              <w:rPr>
                <w:rFonts w:cs="Arial"/>
                <w:b/>
              </w:rPr>
            </w:pPr>
            <w:r w:rsidRPr="00F928CF">
              <w:rPr>
                <w:rFonts w:cs="Arial"/>
                <w:b/>
              </w:rPr>
              <w:t>What meaning can the idea and examples offer – what does it tell us?</w:t>
            </w:r>
          </w:p>
        </w:tc>
      </w:tr>
      <w:tr w:rsidR="008052A9" w:rsidRPr="00F928CF" w:rsidTr="00425443">
        <w:trPr>
          <w:trHeight w:val="551"/>
          <w:tblHeader/>
        </w:trPr>
        <w:tc>
          <w:tcPr>
            <w:tcW w:w="9628" w:type="dxa"/>
            <w:gridSpan w:val="3"/>
            <w:shd w:val="clear" w:color="auto" w:fill="auto"/>
          </w:tcPr>
          <w:p w:rsidR="008052A9" w:rsidRPr="00F928CF" w:rsidRDefault="00323CA6" w:rsidP="008052A9">
            <w:pPr>
              <w:pStyle w:val="Tabletext"/>
              <w:rPr>
                <w:rFonts w:cs="Arial"/>
                <w:color w:val="FF6600"/>
              </w:rPr>
            </w:pPr>
            <w:r>
              <w:rPr>
                <w:rFonts w:cs="Arial"/>
              </w:rPr>
              <w:t xml:space="preserve">Jenkins argues that fans of media products, even one-way products such as television, act as ‘textual poachers’ – taking elements from media texts to create their own culture. The fan made texts and/or movements spring from negotiated readings of the main product. </w:t>
            </w:r>
            <w:r w:rsidR="008052A9" w:rsidRPr="00F73E63">
              <w:rPr>
                <w:rFonts w:cs="Arial"/>
                <w:b/>
              </w:rPr>
              <w:t xml:space="preserve"> (</w:t>
            </w:r>
            <w:r w:rsidR="008052A9">
              <w:rPr>
                <w:rFonts w:cs="Arial"/>
                <w:b/>
              </w:rPr>
              <w:t>Jenkins</w:t>
            </w:r>
            <w:r w:rsidR="008052A9" w:rsidRPr="00F73E63">
              <w:rPr>
                <w:rFonts w:cs="Arial"/>
                <w:b/>
              </w:rPr>
              <w:t xml:space="preserve">) </w:t>
            </w:r>
            <w:r w:rsidR="008052A9">
              <w:rPr>
                <w:rFonts w:cs="Arial"/>
                <w:b/>
              </w:rPr>
              <w:t>Fandom</w:t>
            </w:r>
            <w:r>
              <w:rPr>
                <w:rFonts w:cs="Arial"/>
                <w:b/>
              </w:rPr>
              <w:t xml:space="preserve"> (Textual Poachers) </w:t>
            </w:r>
          </w:p>
        </w:tc>
      </w:tr>
      <w:tr w:rsidR="008052A9" w:rsidRPr="00F928CF" w:rsidTr="00425443">
        <w:trPr>
          <w:tblHeader/>
        </w:trPr>
        <w:tc>
          <w:tcPr>
            <w:tcW w:w="2406" w:type="dxa"/>
          </w:tcPr>
          <w:p w:rsidR="008052A9" w:rsidRPr="00F928CF" w:rsidRDefault="008052A9" w:rsidP="00425443">
            <w:pPr>
              <w:pStyle w:val="Tabletext"/>
              <w:rPr>
                <w:rFonts w:cs="Arial"/>
                <w:b/>
              </w:rPr>
            </w:pPr>
            <w:r w:rsidRPr="00F928CF">
              <w:rPr>
                <w:rFonts w:cs="Arial"/>
                <w:b/>
              </w:rPr>
              <w:t>Set product 1</w:t>
            </w:r>
          </w:p>
        </w:tc>
        <w:tc>
          <w:tcPr>
            <w:tcW w:w="3329" w:type="dxa"/>
          </w:tcPr>
          <w:p w:rsidR="008052A9" w:rsidRPr="00F928CF" w:rsidRDefault="008052A9" w:rsidP="00425443">
            <w:pPr>
              <w:pStyle w:val="Tabletext"/>
              <w:rPr>
                <w:rFonts w:cs="Arial"/>
              </w:rPr>
            </w:pPr>
          </w:p>
          <w:p w:rsidR="008052A9" w:rsidRPr="00F928CF" w:rsidRDefault="008052A9" w:rsidP="00425443">
            <w:pPr>
              <w:pStyle w:val="Tabletext"/>
              <w:rPr>
                <w:rFonts w:cs="Arial"/>
              </w:rPr>
            </w:pPr>
          </w:p>
          <w:p w:rsidR="008052A9" w:rsidRPr="00F928CF" w:rsidRDefault="008052A9" w:rsidP="00425443">
            <w:pPr>
              <w:pStyle w:val="Tabletext"/>
              <w:rPr>
                <w:rFonts w:cs="Arial"/>
              </w:rPr>
            </w:pPr>
          </w:p>
          <w:p w:rsidR="008052A9" w:rsidRPr="00F928CF" w:rsidRDefault="008052A9" w:rsidP="00425443">
            <w:pPr>
              <w:pStyle w:val="Tabletext"/>
              <w:rPr>
                <w:rFonts w:cs="Arial"/>
              </w:rPr>
            </w:pPr>
          </w:p>
          <w:p w:rsidR="008052A9" w:rsidRPr="00F928CF" w:rsidRDefault="008052A9" w:rsidP="00425443">
            <w:pPr>
              <w:pStyle w:val="Tabletext"/>
              <w:rPr>
                <w:rFonts w:cs="Arial"/>
              </w:rPr>
            </w:pPr>
          </w:p>
          <w:p w:rsidR="008052A9" w:rsidRPr="00F928CF" w:rsidRDefault="008052A9" w:rsidP="00425443">
            <w:pPr>
              <w:pStyle w:val="Tabletext"/>
              <w:rPr>
                <w:rFonts w:cs="Arial"/>
              </w:rPr>
            </w:pPr>
          </w:p>
          <w:p w:rsidR="008052A9" w:rsidRPr="00F928CF" w:rsidRDefault="008052A9" w:rsidP="00425443">
            <w:pPr>
              <w:pStyle w:val="Tabletext"/>
              <w:rPr>
                <w:rFonts w:cs="Arial"/>
              </w:rPr>
            </w:pPr>
          </w:p>
          <w:p w:rsidR="008052A9" w:rsidRPr="00F928CF" w:rsidRDefault="008052A9" w:rsidP="00425443">
            <w:pPr>
              <w:pStyle w:val="Tabletext"/>
              <w:rPr>
                <w:rFonts w:cs="Arial"/>
              </w:rPr>
            </w:pPr>
          </w:p>
          <w:p w:rsidR="008052A9" w:rsidRPr="00F928CF" w:rsidRDefault="008052A9" w:rsidP="00425443">
            <w:pPr>
              <w:pStyle w:val="Tabletext"/>
              <w:rPr>
                <w:rFonts w:cs="Arial"/>
              </w:rPr>
            </w:pPr>
          </w:p>
          <w:p w:rsidR="008052A9" w:rsidRPr="00F928CF" w:rsidRDefault="008052A9" w:rsidP="00425443">
            <w:pPr>
              <w:pStyle w:val="Tabletext"/>
              <w:rPr>
                <w:rFonts w:cs="Arial"/>
              </w:rPr>
            </w:pPr>
          </w:p>
          <w:p w:rsidR="008052A9" w:rsidRPr="00F928CF" w:rsidRDefault="008052A9" w:rsidP="00425443">
            <w:pPr>
              <w:pStyle w:val="Tabletext"/>
              <w:rPr>
                <w:rFonts w:cs="Arial"/>
              </w:rPr>
            </w:pPr>
          </w:p>
          <w:p w:rsidR="008052A9" w:rsidRPr="00F928CF" w:rsidRDefault="008052A9" w:rsidP="00425443">
            <w:pPr>
              <w:pStyle w:val="Tabletext"/>
              <w:rPr>
                <w:rFonts w:cs="Arial"/>
              </w:rPr>
            </w:pPr>
          </w:p>
          <w:p w:rsidR="008052A9" w:rsidRPr="00F928CF" w:rsidRDefault="008052A9" w:rsidP="00425443">
            <w:pPr>
              <w:pStyle w:val="Tabletext"/>
              <w:rPr>
                <w:rFonts w:cs="Arial"/>
              </w:rPr>
            </w:pPr>
          </w:p>
          <w:p w:rsidR="008052A9" w:rsidRPr="00F928CF" w:rsidRDefault="008052A9" w:rsidP="00425443">
            <w:pPr>
              <w:pStyle w:val="Tabletext"/>
              <w:rPr>
                <w:rFonts w:cs="Arial"/>
              </w:rPr>
            </w:pPr>
          </w:p>
          <w:p w:rsidR="008052A9" w:rsidRPr="00F928CF" w:rsidRDefault="008052A9" w:rsidP="00425443">
            <w:pPr>
              <w:pStyle w:val="Tabletext"/>
              <w:rPr>
                <w:rFonts w:cs="Arial"/>
              </w:rPr>
            </w:pPr>
          </w:p>
          <w:p w:rsidR="008052A9" w:rsidRPr="00F928CF" w:rsidRDefault="008052A9" w:rsidP="00425443">
            <w:pPr>
              <w:pStyle w:val="Tabletext"/>
              <w:rPr>
                <w:rFonts w:cs="Arial"/>
              </w:rPr>
            </w:pPr>
          </w:p>
          <w:p w:rsidR="008052A9" w:rsidRPr="00F928CF" w:rsidRDefault="008052A9" w:rsidP="00425443">
            <w:pPr>
              <w:pStyle w:val="Tabletext"/>
              <w:rPr>
                <w:rFonts w:cs="Arial"/>
              </w:rPr>
            </w:pPr>
          </w:p>
        </w:tc>
        <w:tc>
          <w:tcPr>
            <w:tcW w:w="3893" w:type="dxa"/>
          </w:tcPr>
          <w:p w:rsidR="008052A9" w:rsidRPr="00F928CF" w:rsidRDefault="008052A9" w:rsidP="00425443">
            <w:pPr>
              <w:pStyle w:val="Tabletext"/>
              <w:rPr>
                <w:rFonts w:cs="Arial"/>
              </w:rPr>
            </w:pPr>
          </w:p>
        </w:tc>
      </w:tr>
      <w:tr w:rsidR="008052A9" w:rsidRPr="00F928CF" w:rsidTr="00425443">
        <w:trPr>
          <w:tblHeader/>
        </w:trPr>
        <w:tc>
          <w:tcPr>
            <w:tcW w:w="2406" w:type="dxa"/>
            <w:tcBorders>
              <w:bottom w:val="single" w:sz="4" w:space="0" w:color="2C6350"/>
            </w:tcBorders>
          </w:tcPr>
          <w:p w:rsidR="008052A9" w:rsidRPr="00F928CF" w:rsidRDefault="008052A9" w:rsidP="00425443">
            <w:pPr>
              <w:pStyle w:val="Tabletext"/>
              <w:rPr>
                <w:rFonts w:cs="Arial"/>
                <w:b/>
              </w:rPr>
            </w:pPr>
            <w:r w:rsidRPr="00F928CF">
              <w:rPr>
                <w:rFonts w:cs="Arial"/>
                <w:b/>
              </w:rPr>
              <w:t>Set product 2</w:t>
            </w:r>
          </w:p>
        </w:tc>
        <w:tc>
          <w:tcPr>
            <w:tcW w:w="3329" w:type="dxa"/>
            <w:tcBorders>
              <w:bottom w:val="single" w:sz="4" w:space="0" w:color="2C6350"/>
            </w:tcBorders>
          </w:tcPr>
          <w:p w:rsidR="008052A9" w:rsidRPr="00F928CF" w:rsidRDefault="008052A9" w:rsidP="00425443">
            <w:pPr>
              <w:pStyle w:val="Tabletext"/>
              <w:rPr>
                <w:rFonts w:cs="Arial"/>
              </w:rPr>
            </w:pPr>
          </w:p>
          <w:p w:rsidR="008052A9" w:rsidRPr="00F928CF" w:rsidRDefault="008052A9" w:rsidP="00425443">
            <w:pPr>
              <w:pStyle w:val="Tabletext"/>
              <w:rPr>
                <w:rFonts w:cs="Arial"/>
              </w:rPr>
            </w:pPr>
          </w:p>
          <w:p w:rsidR="008052A9" w:rsidRPr="00F928CF" w:rsidRDefault="008052A9" w:rsidP="00425443">
            <w:pPr>
              <w:pStyle w:val="Tabletext"/>
              <w:rPr>
                <w:rFonts w:cs="Arial"/>
              </w:rPr>
            </w:pPr>
          </w:p>
          <w:p w:rsidR="008052A9" w:rsidRPr="00F928CF" w:rsidRDefault="008052A9" w:rsidP="00425443">
            <w:pPr>
              <w:pStyle w:val="Tabletext"/>
              <w:rPr>
                <w:rFonts w:cs="Arial"/>
              </w:rPr>
            </w:pPr>
          </w:p>
          <w:p w:rsidR="008052A9" w:rsidRPr="00F928CF" w:rsidRDefault="008052A9" w:rsidP="00425443">
            <w:pPr>
              <w:pStyle w:val="Tabletext"/>
              <w:rPr>
                <w:rFonts w:cs="Arial"/>
              </w:rPr>
            </w:pPr>
          </w:p>
          <w:p w:rsidR="008052A9" w:rsidRPr="00F928CF" w:rsidRDefault="008052A9" w:rsidP="00425443">
            <w:pPr>
              <w:pStyle w:val="Tabletext"/>
              <w:rPr>
                <w:rFonts w:cs="Arial"/>
              </w:rPr>
            </w:pPr>
          </w:p>
          <w:p w:rsidR="008052A9" w:rsidRPr="00F928CF" w:rsidRDefault="008052A9" w:rsidP="00425443">
            <w:pPr>
              <w:pStyle w:val="Tabletext"/>
              <w:rPr>
                <w:rFonts w:cs="Arial"/>
              </w:rPr>
            </w:pPr>
          </w:p>
          <w:p w:rsidR="008052A9" w:rsidRPr="00F928CF" w:rsidRDefault="008052A9" w:rsidP="00425443">
            <w:pPr>
              <w:pStyle w:val="Tabletext"/>
              <w:rPr>
                <w:rFonts w:cs="Arial"/>
              </w:rPr>
            </w:pPr>
          </w:p>
          <w:p w:rsidR="008052A9" w:rsidRPr="00F928CF" w:rsidRDefault="008052A9" w:rsidP="00425443">
            <w:pPr>
              <w:pStyle w:val="Tabletext"/>
              <w:rPr>
                <w:rFonts w:cs="Arial"/>
              </w:rPr>
            </w:pPr>
          </w:p>
          <w:p w:rsidR="008052A9" w:rsidRPr="00F928CF" w:rsidRDefault="008052A9" w:rsidP="00425443">
            <w:pPr>
              <w:pStyle w:val="Tabletext"/>
              <w:rPr>
                <w:rFonts w:cs="Arial"/>
              </w:rPr>
            </w:pPr>
          </w:p>
          <w:p w:rsidR="008052A9" w:rsidRPr="00F928CF" w:rsidRDefault="008052A9" w:rsidP="00425443">
            <w:pPr>
              <w:pStyle w:val="Tabletext"/>
              <w:rPr>
                <w:rFonts w:cs="Arial"/>
              </w:rPr>
            </w:pPr>
          </w:p>
          <w:p w:rsidR="008052A9" w:rsidRPr="00F928CF" w:rsidRDefault="008052A9" w:rsidP="00425443">
            <w:pPr>
              <w:pStyle w:val="Tabletext"/>
              <w:rPr>
                <w:rFonts w:cs="Arial"/>
              </w:rPr>
            </w:pPr>
          </w:p>
          <w:p w:rsidR="008052A9" w:rsidRPr="00F928CF" w:rsidRDefault="008052A9" w:rsidP="00425443">
            <w:pPr>
              <w:pStyle w:val="Tabletext"/>
              <w:rPr>
                <w:rFonts w:cs="Arial"/>
              </w:rPr>
            </w:pPr>
          </w:p>
          <w:p w:rsidR="008052A9" w:rsidRPr="00F928CF" w:rsidRDefault="008052A9" w:rsidP="00425443">
            <w:pPr>
              <w:pStyle w:val="Tabletext"/>
              <w:rPr>
                <w:rFonts w:cs="Arial"/>
              </w:rPr>
            </w:pPr>
          </w:p>
          <w:p w:rsidR="008052A9" w:rsidRPr="00F928CF" w:rsidRDefault="008052A9" w:rsidP="00425443">
            <w:pPr>
              <w:pStyle w:val="Tabletext"/>
              <w:rPr>
                <w:rFonts w:cs="Arial"/>
              </w:rPr>
            </w:pPr>
          </w:p>
          <w:p w:rsidR="008052A9" w:rsidRPr="00F928CF" w:rsidRDefault="008052A9" w:rsidP="00425443">
            <w:pPr>
              <w:pStyle w:val="Tabletext"/>
              <w:rPr>
                <w:rFonts w:cs="Arial"/>
              </w:rPr>
            </w:pPr>
          </w:p>
        </w:tc>
        <w:tc>
          <w:tcPr>
            <w:tcW w:w="3893" w:type="dxa"/>
            <w:tcBorders>
              <w:bottom w:val="single" w:sz="4" w:space="0" w:color="2C6350"/>
            </w:tcBorders>
          </w:tcPr>
          <w:p w:rsidR="008052A9" w:rsidRPr="00F928CF" w:rsidRDefault="008052A9" w:rsidP="00425443">
            <w:pPr>
              <w:pStyle w:val="Tabletext"/>
              <w:rPr>
                <w:rFonts w:cs="Arial"/>
              </w:rPr>
            </w:pPr>
          </w:p>
        </w:tc>
      </w:tr>
    </w:tbl>
    <w:p w:rsidR="008052A9" w:rsidRDefault="008052A9"/>
    <w:tbl>
      <w:tblPr>
        <w:tblStyle w:val="TableGrid10"/>
        <w:tblW w:w="0" w:type="auto"/>
        <w:tblBorders>
          <w:top w:val="single" w:sz="4" w:space="0" w:color="2C6350"/>
          <w:left w:val="single" w:sz="4" w:space="0" w:color="2C6350"/>
          <w:bottom w:val="single" w:sz="4" w:space="0" w:color="2C6350"/>
          <w:right w:val="single" w:sz="4" w:space="0" w:color="2C6350"/>
          <w:insideH w:val="single" w:sz="4" w:space="0" w:color="2C6350"/>
          <w:insideV w:val="single" w:sz="4" w:space="0" w:color="2C6350"/>
        </w:tblBorders>
        <w:tblLook w:val="04A0" w:firstRow="1" w:lastRow="0" w:firstColumn="1" w:lastColumn="0" w:noHBand="0" w:noVBand="1"/>
      </w:tblPr>
      <w:tblGrid>
        <w:gridCol w:w="2504"/>
        <w:gridCol w:w="3466"/>
        <w:gridCol w:w="4055"/>
      </w:tblGrid>
      <w:tr w:rsidR="008052A9" w:rsidRPr="00F928CF" w:rsidTr="00505285">
        <w:trPr>
          <w:trHeight w:val="858"/>
          <w:tblHeader/>
        </w:trPr>
        <w:tc>
          <w:tcPr>
            <w:tcW w:w="2504" w:type="dxa"/>
            <w:tcBorders>
              <w:bottom w:val="single" w:sz="4" w:space="0" w:color="2C6350"/>
            </w:tcBorders>
            <w:shd w:val="clear" w:color="auto" w:fill="D4ECE3"/>
            <w:vAlign w:val="center"/>
          </w:tcPr>
          <w:p w:rsidR="008052A9" w:rsidRPr="00F928CF" w:rsidRDefault="008052A9" w:rsidP="00425443">
            <w:pPr>
              <w:pStyle w:val="Tabletext"/>
              <w:rPr>
                <w:rFonts w:cs="Arial"/>
                <w:b/>
              </w:rPr>
            </w:pPr>
            <w:r w:rsidRPr="00F928CF">
              <w:rPr>
                <w:rFonts w:cs="Arial"/>
                <w:b/>
              </w:rPr>
              <w:t>Set product</w:t>
            </w:r>
          </w:p>
        </w:tc>
        <w:tc>
          <w:tcPr>
            <w:tcW w:w="3466" w:type="dxa"/>
            <w:tcBorders>
              <w:bottom w:val="single" w:sz="4" w:space="0" w:color="2C6350"/>
            </w:tcBorders>
            <w:shd w:val="clear" w:color="auto" w:fill="D4ECE3"/>
            <w:vAlign w:val="center"/>
          </w:tcPr>
          <w:p w:rsidR="008052A9" w:rsidRPr="00F928CF" w:rsidRDefault="008052A9" w:rsidP="00425443">
            <w:pPr>
              <w:pStyle w:val="Tabletext"/>
              <w:rPr>
                <w:rFonts w:cs="Arial"/>
                <w:b/>
              </w:rPr>
            </w:pPr>
            <w:r w:rsidRPr="00F928CF">
              <w:rPr>
                <w:rFonts w:cs="Arial"/>
                <w:b/>
              </w:rPr>
              <w:t>Examples from episode 1 of the set product the idea can be applied to</w:t>
            </w:r>
          </w:p>
        </w:tc>
        <w:tc>
          <w:tcPr>
            <w:tcW w:w="4054" w:type="dxa"/>
            <w:tcBorders>
              <w:bottom w:val="single" w:sz="4" w:space="0" w:color="2C6350"/>
            </w:tcBorders>
            <w:shd w:val="clear" w:color="auto" w:fill="D4ECE3"/>
            <w:vAlign w:val="center"/>
          </w:tcPr>
          <w:p w:rsidR="008052A9" w:rsidRPr="00F928CF" w:rsidRDefault="008052A9" w:rsidP="00425443">
            <w:pPr>
              <w:pStyle w:val="Tabletext"/>
              <w:rPr>
                <w:rFonts w:cs="Arial"/>
                <w:b/>
              </w:rPr>
            </w:pPr>
            <w:r w:rsidRPr="00F928CF">
              <w:rPr>
                <w:rFonts w:cs="Arial"/>
                <w:b/>
              </w:rPr>
              <w:t>What meaning can the idea and examples offer – what does it tell us?</w:t>
            </w:r>
          </w:p>
        </w:tc>
      </w:tr>
      <w:tr w:rsidR="008052A9" w:rsidRPr="00F928CF" w:rsidTr="00505285">
        <w:trPr>
          <w:trHeight w:val="454"/>
          <w:tblHeader/>
        </w:trPr>
        <w:tc>
          <w:tcPr>
            <w:tcW w:w="10025" w:type="dxa"/>
            <w:gridSpan w:val="3"/>
            <w:shd w:val="clear" w:color="auto" w:fill="auto"/>
          </w:tcPr>
          <w:p w:rsidR="008052A9" w:rsidRPr="00F928CF" w:rsidRDefault="001A47FD" w:rsidP="008052A9">
            <w:pPr>
              <w:pStyle w:val="Tabletext"/>
              <w:rPr>
                <w:rFonts w:cs="Arial"/>
                <w:color w:val="FF6600"/>
              </w:rPr>
            </w:pPr>
            <w:proofErr w:type="spellStart"/>
            <w:r>
              <w:rPr>
                <w:rFonts w:cs="Arial"/>
              </w:rPr>
              <w:t>Shirky</w:t>
            </w:r>
            <w:proofErr w:type="spellEnd"/>
            <w:r>
              <w:rPr>
                <w:rFonts w:cs="Arial"/>
              </w:rPr>
              <w:t xml:space="preserve"> discusses the end of the old mass audience and the development of the new media</w:t>
            </w:r>
            <w:r w:rsidR="00505285">
              <w:rPr>
                <w:rFonts w:cs="Arial"/>
              </w:rPr>
              <w:t xml:space="preserve">, with their amateur producers. </w:t>
            </w:r>
            <w:proofErr w:type="spellStart"/>
            <w:r w:rsidR="00505285">
              <w:rPr>
                <w:rFonts w:cs="Arial"/>
              </w:rPr>
              <w:t>Shirky</w:t>
            </w:r>
            <w:proofErr w:type="spellEnd"/>
            <w:r w:rsidR="00505285">
              <w:rPr>
                <w:rFonts w:cs="Arial"/>
              </w:rPr>
              <w:t xml:space="preserve"> argues that the proliferation of converged technologies (such as smart phones) enable audiences the freedom to create, share, and view media products whenever and wherever they want. ‘Consumers’ have broken away from the ‘top-down’ control of powerful and </w:t>
            </w:r>
            <w:proofErr w:type="spellStart"/>
            <w:r w:rsidR="00505285">
              <w:rPr>
                <w:rFonts w:cs="Arial"/>
              </w:rPr>
              <w:t>centralised</w:t>
            </w:r>
            <w:proofErr w:type="spellEnd"/>
            <w:r w:rsidR="00505285">
              <w:rPr>
                <w:rFonts w:cs="Arial"/>
              </w:rPr>
              <w:t xml:space="preserve"> media, and have become ‘prosumers’ who can talk back to and have control of the media industry. </w:t>
            </w:r>
            <w:r w:rsidR="008052A9" w:rsidRPr="00F73E63">
              <w:rPr>
                <w:rFonts w:cs="Arial"/>
                <w:b/>
              </w:rPr>
              <w:t xml:space="preserve"> (</w:t>
            </w:r>
            <w:proofErr w:type="spellStart"/>
            <w:r w:rsidR="008052A9">
              <w:rPr>
                <w:rFonts w:cs="Arial"/>
                <w:b/>
              </w:rPr>
              <w:t>Shirky</w:t>
            </w:r>
            <w:proofErr w:type="spellEnd"/>
            <w:r w:rsidR="008052A9" w:rsidRPr="00F73E63">
              <w:rPr>
                <w:rFonts w:cs="Arial"/>
                <w:b/>
              </w:rPr>
              <w:t xml:space="preserve">) – </w:t>
            </w:r>
            <w:r w:rsidR="008052A9">
              <w:rPr>
                <w:rFonts w:cs="Arial"/>
                <w:b/>
                <w:i/>
              </w:rPr>
              <w:t>End of Audience</w:t>
            </w:r>
          </w:p>
        </w:tc>
      </w:tr>
      <w:tr w:rsidR="008052A9" w:rsidRPr="00F928CF" w:rsidTr="00505285">
        <w:trPr>
          <w:trHeight w:val="5063"/>
          <w:tblHeader/>
        </w:trPr>
        <w:tc>
          <w:tcPr>
            <w:tcW w:w="2504" w:type="dxa"/>
          </w:tcPr>
          <w:p w:rsidR="008052A9" w:rsidRPr="00F928CF" w:rsidRDefault="008052A9" w:rsidP="00425443">
            <w:pPr>
              <w:pStyle w:val="Tabletext"/>
              <w:rPr>
                <w:rFonts w:cs="Arial"/>
                <w:b/>
              </w:rPr>
            </w:pPr>
            <w:r w:rsidRPr="00F928CF">
              <w:rPr>
                <w:rFonts w:cs="Arial"/>
                <w:b/>
              </w:rPr>
              <w:t>Set product 1</w:t>
            </w:r>
          </w:p>
        </w:tc>
        <w:tc>
          <w:tcPr>
            <w:tcW w:w="3466" w:type="dxa"/>
          </w:tcPr>
          <w:p w:rsidR="008052A9" w:rsidRPr="00F928CF" w:rsidRDefault="008052A9" w:rsidP="00425443">
            <w:pPr>
              <w:pStyle w:val="Tabletext"/>
              <w:rPr>
                <w:rFonts w:cs="Arial"/>
              </w:rPr>
            </w:pPr>
          </w:p>
          <w:p w:rsidR="008052A9" w:rsidRPr="00F928CF" w:rsidRDefault="008052A9" w:rsidP="00425443">
            <w:pPr>
              <w:pStyle w:val="Tabletext"/>
              <w:rPr>
                <w:rFonts w:cs="Arial"/>
              </w:rPr>
            </w:pPr>
          </w:p>
          <w:p w:rsidR="008052A9" w:rsidRPr="00F928CF" w:rsidRDefault="008052A9" w:rsidP="00425443">
            <w:pPr>
              <w:pStyle w:val="Tabletext"/>
              <w:rPr>
                <w:rFonts w:cs="Arial"/>
              </w:rPr>
            </w:pPr>
          </w:p>
          <w:p w:rsidR="008052A9" w:rsidRPr="00F928CF" w:rsidRDefault="008052A9" w:rsidP="00425443">
            <w:pPr>
              <w:pStyle w:val="Tabletext"/>
              <w:rPr>
                <w:rFonts w:cs="Arial"/>
              </w:rPr>
            </w:pPr>
          </w:p>
          <w:p w:rsidR="008052A9" w:rsidRPr="00F928CF" w:rsidRDefault="008052A9" w:rsidP="00425443">
            <w:pPr>
              <w:pStyle w:val="Tabletext"/>
              <w:rPr>
                <w:rFonts w:cs="Arial"/>
              </w:rPr>
            </w:pPr>
          </w:p>
          <w:p w:rsidR="008052A9" w:rsidRPr="00F928CF" w:rsidRDefault="008052A9" w:rsidP="00425443">
            <w:pPr>
              <w:pStyle w:val="Tabletext"/>
              <w:rPr>
                <w:rFonts w:cs="Arial"/>
              </w:rPr>
            </w:pPr>
          </w:p>
          <w:p w:rsidR="008052A9" w:rsidRPr="00F928CF" w:rsidRDefault="008052A9" w:rsidP="00425443">
            <w:pPr>
              <w:pStyle w:val="Tabletext"/>
              <w:rPr>
                <w:rFonts w:cs="Arial"/>
              </w:rPr>
            </w:pPr>
          </w:p>
          <w:p w:rsidR="008052A9" w:rsidRPr="00F928CF" w:rsidRDefault="008052A9" w:rsidP="00425443">
            <w:pPr>
              <w:pStyle w:val="Tabletext"/>
              <w:rPr>
                <w:rFonts w:cs="Arial"/>
              </w:rPr>
            </w:pPr>
          </w:p>
          <w:p w:rsidR="008052A9" w:rsidRPr="00F928CF" w:rsidRDefault="008052A9" w:rsidP="00425443">
            <w:pPr>
              <w:pStyle w:val="Tabletext"/>
              <w:rPr>
                <w:rFonts w:cs="Arial"/>
              </w:rPr>
            </w:pPr>
          </w:p>
          <w:p w:rsidR="008052A9" w:rsidRPr="00F928CF" w:rsidRDefault="008052A9" w:rsidP="00425443">
            <w:pPr>
              <w:pStyle w:val="Tabletext"/>
              <w:rPr>
                <w:rFonts w:cs="Arial"/>
              </w:rPr>
            </w:pPr>
          </w:p>
          <w:p w:rsidR="008052A9" w:rsidRPr="00F928CF" w:rsidRDefault="008052A9" w:rsidP="00425443">
            <w:pPr>
              <w:pStyle w:val="Tabletext"/>
              <w:rPr>
                <w:rFonts w:cs="Arial"/>
              </w:rPr>
            </w:pPr>
          </w:p>
          <w:p w:rsidR="008052A9" w:rsidRPr="00F928CF" w:rsidRDefault="008052A9" w:rsidP="00425443">
            <w:pPr>
              <w:pStyle w:val="Tabletext"/>
              <w:rPr>
                <w:rFonts w:cs="Arial"/>
              </w:rPr>
            </w:pPr>
          </w:p>
          <w:p w:rsidR="008052A9" w:rsidRPr="00F928CF" w:rsidRDefault="008052A9" w:rsidP="00425443">
            <w:pPr>
              <w:pStyle w:val="Tabletext"/>
              <w:rPr>
                <w:rFonts w:cs="Arial"/>
              </w:rPr>
            </w:pPr>
          </w:p>
          <w:p w:rsidR="008052A9" w:rsidRPr="00F928CF" w:rsidRDefault="008052A9" w:rsidP="00425443">
            <w:pPr>
              <w:pStyle w:val="Tabletext"/>
              <w:rPr>
                <w:rFonts w:cs="Arial"/>
              </w:rPr>
            </w:pPr>
          </w:p>
          <w:p w:rsidR="008052A9" w:rsidRPr="00F928CF" w:rsidRDefault="008052A9" w:rsidP="00425443">
            <w:pPr>
              <w:pStyle w:val="Tabletext"/>
              <w:rPr>
                <w:rFonts w:cs="Arial"/>
              </w:rPr>
            </w:pPr>
          </w:p>
          <w:p w:rsidR="008052A9" w:rsidRPr="00F928CF" w:rsidRDefault="008052A9" w:rsidP="00425443">
            <w:pPr>
              <w:pStyle w:val="Tabletext"/>
              <w:rPr>
                <w:rFonts w:cs="Arial"/>
              </w:rPr>
            </w:pPr>
          </w:p>
          <w:p w:rsidR="008052A9" w:rsidRPr="00F928CF" w:rsidRDefault="008052A9" w:rsidP="00425443">
            <w:pPr>
              <w:pStyle w:val="Tabletext"/>
              <w:rPr>
                <w:rFonts w:cs="Arial"/>
              </w:rPr>
            </w:pPr>
          </w:p>
        </w:tc>
        <w:tc>
          <w:tcPr>
            <w:tcW w:w="4054" w:type="dxa"/>
          </w:tcPr>
          <w:p w:rsidR="008052A9" w:rsidRPr="00F928CF" w:rsidRDefault="008052A9" w:rsidP="00425443">
            <w:pPr>
              <w:pStyle w:val="Tabletext"/>
              <w:rPr>
                <w:rFonts w:cs="Arial"/>
              </w:rPr>
            </w:pPr>
          </w:p>
        </w:tc>
      </w:tr>
      <w:tr w:rsidR="008052A9" w:rsidRPr="00F928CF" w:rsidTr="00505285">
        <w:trPr>
          <w:trHeight w:val="4770"/>
          <w:tblHeader/>
        </w:trPr>
        <w:tc>
          <w:tcPr>
            <w:tcW w:w="2504" w:type="dxa"/>
            <w:tcBorders>
              <w:bottom w:val="single" w:sz="4" w:space="0" w:color="2C6350"/>
            </w:tcBorders>
          </w:tcPr>
          <w:p w:rsidR="008052A9" w:rsidRPr="00F928CF" w:rsidRDefault="008052A9" w:rsidP="00425443">
            <w:pPr>
              <w:pStyle w:val="Tabletext"/>
              <w:rPr>
                <w:rFonts w:cs="Arial"/>
                <w:b/>
              </w:rPr>
            </w:pPr>
            <w:r w:rsidRPr="00F928CF">
              <w:rPr>
                <w:rFonts w:cs="Arial"/>
                <w:b/>
              </w:rPr>
              <w:t>Set product 2</w:t>
            </w:r>
          </w:p>
        </w:tc>
        <w:tc>
          <w:tcPr>
            <w:tcW w:w="3466" w:type="dxa"/>
            <w:tcBorders>
              <w:bottom w:val="single" w:sz="4" w:space="0" w:color="2C6350"/>
            </w:tcBorders>
          </w:tcPr>
          <w:p w:rsidR="008052A9" w:rsidRPr="00F928CF" w:rsidRDefault="008052A9" w:rsidP="00425443">
            <w:pPr>
              <w:pStyle w:val="Tabletext"/>
              <w:rPr>
                <w:rFonts w:cs="Arial"/>
              </w:rPr>
            </w:pPr>
          </w:p>
          <w:p w:rsidR="008052A9" w:rsidRPr="00F928CF" w:rsidRDefault="008052A9" w:rsidP="00425443">
            <w:pPr>
              <w:pStyle w:val="Tabletext"/>
              <w:rPr>
                <w:rFonts w:cs="Arial"/>
              </w:rPr>
            </w:pPr>
          </w:p>
          <w:p w:rsidR="008052A9" w:rsidRPr="00F928CF" w:rsidRDefault="008052A9" w:rsidP="00425443">
            <w:pPr>
              <w:pStyle w:val="Tabletext"/>
              <w:rPr>
                <w:rFonts w:cs="Arial"/>
              </w:rPr>
            </w:pPr>
          </w:p>
          <w:p w:rsidR="008052A9" w:rsidRPr="00F928CF" w:rsidRDefault="008052A9" w:rsidP="00425443">
            <w:pPr>
              <w:pStyle w:val="Tabletext"/>
              <w:rPr>
                <w:rFonts w:cs="Arial"/>
              </w:rPr>
            </w:pPr>
          </w:p>
          <w:p w:rsidR="008052A9" w:rsidRPr="00F928CF" w:rsidRDefault="008052A9" w:rsidP="00425443">
            <w:pPr>
              <w:pStyle w:val="Tabletext"/>
              <w:rPr>
                <w:rFonts w:cs="Arial"/>
              </w:rPr>
            </w:pPr>
          </w:p>
          <w:p w:rsidR="008052A9" w:rsidRPr="00F928CF" w:rsidRDefault="008052A9" w:rsidP="00425443">
            <w:pPr>
              <w:pStyle w:val="Tabletext"/>
              <w:rPr>
                <w:rFonts w:cs="Arial"/>
              </w:rPr>
            </w:pPr>
          </w:p>
          <w:p w:rsidR="008052A9" w:rsidRPr="00F928CF" w:rsidRDefault="008052A9" w:rsidP="00425443">
            <w:pPr>
              <w:pStyle w:val="Tabletext"/>
              <w:rPr>
                <w:rFonts w:cs="Arial"/>
              </w:rPr>
            </w:pPr>
          </w:p>
          <w:p w:rsidR="008052A9" w:rsidRPr="00F928CF" w:rsidRDefault="008052A9" w:rsidP="00425443">
            <w:pPr>
              <w:pStyle w:val="Tabletext"/>
              <w:rPr>
                <w:rFonts w:cs="Arial"/>
              </w:rPr>
            </w:pPr>
          </w:p>
          <w:p w:rsidR="008052A9" w:rsidRPr="00F928CF" w:rsidRDefault="008052A9" w:rsidP="00425443">
            <w:pPr>
              <w:pStyle w:val="Tabletext"/>
              <w:rPr>
                <w:rFonts w:cs="Arial"/>
              </w:rPr>
            </w:pPr>
          </w:p>
          <w:p w:rsidR="008052A9" w:rsidRPr="00F928CF" w:rsidRDefault="008052A9" w:rsidP="00425443">
            <w:pPr>
              <w:pStyle w:val="Tabletext"/>
              <w:rPr>
                <w:rFonts w:cs="Arial"/>
              </w:rPr>
            </w:pPr>
          </w:p>
          <w:p w:rsidR="008052A9" w:rsidRPr="00F928CF" w:rsidRDefault="008052A9" w:rsidP="00425443">
            <w:pPr>
              <w:pStyle w:val="Tabletext"/>
              <w:rPr>
                <w:rFonts w:cs="Arial"/>
              </w:rPr>
            </w:pPr>
          </w:p>
          <w:p w:rsidR="008052A9" w:rsidRPr="00F928CF" w:rsidRDefault="008052A9" w:rsidP="00425443">
            <w:pPr>
              <w:pStyle w:val="Tabletext"/>
              <w:rPr>
                <w:rFonts w:cs="Arial"/>
              </w:rPr>
            </w:pPr>
          </w:p>
          <w:p w:rsidR="008052A9" w:rsidRPr="00F928CF" w:rsidRDefault="008052A9" w:rsidP="00425443">
            <w:pPr>
              <w:pStyle w:val="Tabletext"/>
              <w:rPr>
                <w:rFonts w:cs="Arial"/>
              </w:rPr>
            </w:pPr>
          </w:p>
          <w:p w:rsidR="008052A9" w:rsidRPr="00F928CF" w:rsidRDefault="008052A9" w:rsidP="00425443">
            <w:pPr>
              <w:pStyle w:val="Tabletext"/>
              <w:rPr>
                <w:rFonts w:cs="Arial"/>
              </w:rPr>
            </w:pPr>
          </w:p>
          <w:p w:rsidR="008052A9" w:rsidRPr="00F928CF" w:rsidRDefault="008052A9" w:rsidP="00425443">
            <w:pPr>
              <w:pStyle w:val="Tabletext"/>
              <w:rPr>
                <w:rFonts w:cs="Arial"/>
              </w:rPr>
            </w:pPr>
          </w:p>
          <w:p w:rsidR="008052A9" w:rsidRPr="00F928CF" w:rsidRDefault="008052A9" w:rsidP="00425443">
            <w:pPr>
              <w:pStyle w:val="Tabletext"/>
              <w:rPr>
                <w:rFonts w:cs="Arial"/>
              </w:rPr>
            </w:pPr>
          </w:p>
        </w:tc>
        <w:tc>
          <w:tcPr>
            <w:tcW w:w="4054" w:type="dxa"/>
            <w:tcBorders>
              <w:bottom w:val="single" w:sz="4" w:space="0" w:color="2C6350"/>
            </w:tcBorders>
          </w:tcPr>
          <w:p w:rsidR="008052A9" w:rsidRPr="00F928CF" w:rsidRDefault="008052A9" w:rsidP="00425443">
            <w:pPr>
              <w:pStyle w:val="Tabletext"/>
              <w:rPr>
                <w:rFonts w:cs="Arial"/>
              </w:rPr>
            </w:pPr>
          </w:p>
        </w:tc>
      </w:tr>
    </w:tbl>
    <w:p w:rsidR="00C41AFE" w:rsidRDefault="00C41AFE"/>
    <w:sectPr w:rsidR="00C41AFE" w:rsidSect="008052A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roma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3261F8"/>
    <w:multiLevelType w:val="hybridMultilevel"/>
    <w:tmpl w:val="46DE4A7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CDA7393"/>
    <w:multiLevelType w:val="hybridMultilevel"/>
    <w:tmpl w:val="2918062A"/>
    <w:lvl w:ilvl="0" w:tplc="B8E0DB8C">
      <w:start w:val="1"/>
      <w:numFmt w:val="bullet"/>
      <w:pStyle w:val="ListParagraph"/>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52A9"/>
    <w:rsid w:val="001A47FD"/>
    <w:rsid w:val="00323CA6"/>
    <w:rsid w:val="0032717C"/>
    <w:rsid w:val="00505285"/>
    <w:rsid w:val="006E0A71"/>
    <w:rsid w:val="006E0E63"/>
    <w:rsid w:val="00713957"/>
    <w:rsid w:val="008052A9"/>
    <w:rsid w:val="00C41AFE"/>
    <w:rsid w:val="00CA23EE"/>
    <w:rsid w:val="00D80B08"/>
    <w:rsid w:val="00E6625A"/>
    <w:rsid w:val="00EA79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1B9F5"/>
  <w15:chartTrackingRefBased/>
  <w15:docId w15:val="{117546CA-D7FB-4FEC-93CB-A2BC75BC4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
    <w:name w:val="Table text"/>
    <w:basedOn w:val="Normal"/>
    <w:qFormat/>
    <w:rsid w:val="008052A9"/>
    <w:pPr>
      <w:spacing w:before="40" w:after="40" w:line="276" w:lineRule="auto"/>
    </w:pPr>
    <w:rPr>
      <w:rFonts w:ascii="Arial" w:eastAsia="Calibri" w:hAnsi="Arial" w:cs="Times New Roman"/>
    </w:rPr>
  </w:style>
  <w:style w:type="table" w:customStyle="1" w:styleId="TableGrid10">
    <w:name w:val="Table Grid10"/>
    <w:basedOn w:val="TableNormal"/>
    <w:next w:val="TableGrid"/>
    <w:uiPriority w:val="59"/>
    <w:rsid w:val="008052A9"/>
    <w:pPr>
      <w:spacing w:after="0" w:line="240" w:lineRule="auto"/>
    </w:pPr>
    <w:rPr>
      <w:rFonts w:ascii="Cambria" w:eastAsia="MS Mincho" w:hAnsi="Cambria" w:cs="Times New Roman"/>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8052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2717C"/>
    <w:pPr>
      <w:numPr>
        <w:numId w:val="1"/>
      </w:numPr>
      <w:contextualSpacing/>
    </w:pPr>
    <w:rPr>
      <w:rFonts w:ascii="Calibri" w:eastAsia="Calibri" w:hAnsi="Calibri" w:cs="Times New Roman"/>
    </w:rPr>
  </w:style>
  <w:style w:type="paragraph" w:customStyle="1" w:styleId="bullets">
    <w:name w:val="bullets"/>
    <w:basedOn w:val="ListParagraph"/>
    <w:qFormat/>
    <w:rsid w:val="0032717C"/>
    <w:pPr>
      <w:spacing w:after="120" w:line="276" w:lineRule="auto"/>
      <w:ind w:left="1134" w:hanging="567"/>
      <w:contextualSpacing w:val="0"/>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TotalTime>
  <Pages>6</Pages>
  <Words>594</Words>
  <Characters>3388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3975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Prior</dc:creator>
  <cp:keywords/>
  <dc:description/>
  <cp:lastModifiedBy>Thomas Prior</cp:lastModifiedBy>
  <cp:revision>12</cp:revision>
  <dcterms:created xsi:type="dcterms:W3CDTF">2019-03-06T07:39:00Z</dcterms:created>
  <dcterms:modified xsi:type="dcterms:W3CDTF">2019-03-13T07:55:00Z</dcterms:modified>
</cp:coreProperties>
</file>